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52ECC" w14:textId="27AAA357" w:rsidR="00E43D31" w:rsidRPr="00825B0C" w:rsidRDefault="00E43D31" w:rsidP="00E43D31">
      <w:pPr>
        <w:widowControl w:val="0"/>
        <w:tabs>
          <w:tab w:val="center" w:pos="4536"/>
          <w:tab w:val="right" w:pos="9072"/>
        </w:tabs>
        <w:spacing w:after="120"/>
        <w:rPr>
          <w:rFonts w:ascii="Arial" w:hAnsi="Arial"/>
          <w:b/>
          <w:lang w:val="en-US"/>
        </w:rPr>
      </w:pPr>
      <w:r w:rsidRPr="00825B0C">
        <w:rPr>
          <w:rFonts w:ascii="Arial" w:hAnsi="Arial"/>
          <w:b/>
          <w:lang w:val="en-US"/>
        </w:rPr>
        <w:t>3GPP TSG RAN WG1 #1</w:t>
      </w:r>
      <w:r w:rsidR="00825B0C" w:rsidRPr="00825B0C">
        <w:rPr>
          <w:rFonts w:ascii="Arial" w:hAnsi="Arial"/>
          <w:b/>
          <w:lang w:val="en-US"/>
        </w:rPr>
        <w:t>10</w:t>
      </w:r>
      <w:r w:rsidRPr="00825B0C">
        <w:rPr>
          <w:rFonts w:ascii="Arial" w:hAnsi="Arial"/>
          <w:b/>
          <w:lang w:val="en-US"/>
        </w:rPr>
        <w:t xml:space="preserve">                                                                                        </w:t>
      </w:r>
      <w:r w:rsidR="00252C7C" w:rsidRPr="00252C7C">
        <w:rPr>
          <w:rFonts w:ascii="Arial" w:hAnsi="Arial"/>
          <w:b/>
          <w:lang w:val="en-US"/>
        </w:rPr>
        <w:t>R1-2207507</w:t>
      </w:r>
    </w:p>
    <w:p w14:paraId="23F10028" w14:textId="08F432DB" w:rsidR="00E43D31" w:rsidRPr="00A47ABE" w:rsidRDefault="002B4EDA" w:rsidP="00E43D31">
      <w:pPr>
        <w:widowControl w:val="0"/>
        <w:tabs>
          <w:tab w:val="center" w:pos="4536"/>
          <w:tab w:val="right" w:pos="9072"/>
        </w:tabs>
        <w:spacing w:after="120"/>
        <w:rPr>
          <w:rFonts w:ascii="Arial" w:hAnsi="Arial"/>
          <w:b/>
        </w:rPr>
      </w:pPr>
      <w:r w:rsidRPr="00286B94">
        <w:rPr>
          <w:rFonts w:ascii="Arial" w:hAnsi="Arial"/>
          <w:b/>
        </w:rPr>
        <w:t>Toulouse</w:t>
      </w:r>
      <w:r w:rsidR="00E43D31" w:rsidRPr="00286B94">
        <w:rPr>
          <w:rFonts w:ascii="Arial" w:hAnsi="Arial"/>
          <w:b/>
        </w:rPr>
        <w:t xml:space="preserve">, </w:t>
      </w:r>
      <w:r w:rsidRPr="00286B94">
        <w:rPr>
          <w:rFonts w:ascii="Arial" w:hAnsi="Arial"/>
          <w:b/>
        </w:rPr>
        <w:t>August</w:t>
      </w:r>
      <w:r w:rsidR="00E43D31" w:rsidRPr="00286B94">
        <w:rPr>
          <w:rFonts w:ascii="Arial" w:hAnsi="Arial"/>
          <w:b/>
        </w:rPr>
        <w:t xml:space="preserve"> </w:t>
      </w:r>
      <w:r w:rsidR="00286B94" w:rsidRPr="00286B94">
        <w:rPr>
          <w:rFonts w:ascii="Arial" w:hAnsi="Arial"/>
          <w:b/>
        </w:rPr>
        <w:t>22</w:t>
      </w:r>
      <w:r w:rsidR="00286B94" w:rsidRPr="00286B94">
        <w:rPr>
          <w:rFonts w:ascii="Arial" w:hAnsi="Arial"/>
          <w:b/>
          <w:vertAlign w:val="superscript"/>
        </w:rPr>
        <w:t>nd</w:t>
      </w:r>
      <w:r w:rsidR="00E43D31" w:rsidRPr="00286B94">
        <w:rPr>
          <w:rFonts w:ascii="Arial" w:hAnsi="Arial"/>
          <w:b/>
        </w:rPr>
        <w:t xml:space="preserve"> – 2</w:t>
      </w:r>
      <w:r w:rsidR="00286B94" w:rsidRPr="00286B94">
        <w:rPr>
          <w:rFonts w:ascii="Arial" w:hAnsi="Arial"/>
          <w:b/>
        </w:rPr>
        <w:t>6</w:t>
      </w:r>
      <w:r w:rsidR="00E43D31" w:rsidRPr="00286B94">
        <w:rPr>
          <w:rFonts w:ascii="Arial" w:hAnsi="Arial"/>
          <w:b/>
          <w:vertAlign w:val="superscript"/>
        </w:rPr>
        <w:t>th</w:t>
      </w:r>
      <w:r w:rsidR="00E43D31" w:rsidRPr="00286B94">
        <w:rPr>
          <w:rFonts w:ascii="Arial" w:hAnsi="Arial"/>
          <w:b/>
        </w:rPr>
        <w:t>, 202</w:t>
      </w:r>
      <w:r w:rsidR="003D24A1" w:rsidRPr="00286B94">
        <w:rPr>
          <w:rFonts w:ascii="Arial" w:hAnsi="Arial"/>
          <w:b/>
        </w:rPr>
        <w:t>2</w:t>
      </w:r>
    </w:p>
    <w:p w14:paraId="6F9FD346" w14:textId="7808417A" w:rsidR="00E43D31" w:rsidRPr="00A47ABE" w:rsidRDefault="00E43D31" w:rsidP="00E43D31">
      <w:pPr>
        <w:spacing w:after="120"/>
        <w:ind w:left="1988" w:hanging="1988"/>
        <w:rPr>
          <w:rFonts w:ascii="Arial" w:hAnsi="Arial"/>
          <w:b/>
        </w:rPr>
      </w:pPr>
      <w:r w:rsidRPr="00A47ABE">
        <w:rPr>
          <w:rFonts w:ascii="Arial" w:hAnsi="Arial"/>
          <w:b/>
        </w:rPr>
        <w:t>Agenda item:</w:t>
      </w:r>
      <w:r w:rsidRPr="00A47ABE">
        <w:rPr>
          <w:rFonts w:ascii="Arial" w:hAnsi="Arial"/>
          <w:b/>
        </w:rPr>
        <w:tab/>
      </w:r>
      <w:r w:rsidR="001C700E">
        <w:rPr>
          <w:rFonts w:ascii="Arial" w:hAnsi="Arial"/>
          <w:b/>
        </w:rPr>
        <w:t>9</w:t>
      </w:r>
      <w:r w:rsidRPr="00164C13">
        <w:rPr>
          <w:rFonts w:ascii="Arial" w:hAnsi="Arial"/>
          <w:b/>
        </w:rPr>
        <w:t>.</w:t>
      </w:r>
      <w:r w:rsidR="001C700E">
        <w:rPr>
          <w:rFonts w:ascii="Arial" w:hAnsi="Arial"/>
          <w:b/>
        </w:rPr>
        <w:t>5.1</w:t>
      </w:r>
      <w:r w:rsidRPr="00164C13">
        <w:rPr>
          <w:rFonts w:ascii="Arial" w:hAnsi="Arial"/>
          <w:b/>
        </w:rPr>
        <w:t>.</w:t>
      </w:r>
      <w:r w:rsidR="00825B0C">
        <w:rPr>
          <w:rFonts w:ascii="Arial" w:hAnsi="Arial"/>
          <w:b/>
        </w:rPr>
        <w:t>1</w:t>
      </w:r>
      <w:r w:rsidRPr="00164C13" w:rsidDel="00164C13">
        <w:rPr>
          <w:rFonts w:ascii="Arial" w:hAnsi="Arial"/>
          <w:b/>
        </w:rPr>
        <w:t xml:space="preserve"> </w:t>
      </w:r>
    </w:p>
    <w:p w14:paraId="61790EFA" w14:textId="77777777" w:rsidR="00E43D31" w:rsidRPr="00A47ABE" w:rsidRDefault="00E43D31" w:rsidP="00E43D31">
      <w:pPr>
        <w:spacing w:after="120"/>
        <w:ind w:left="1988" w:hanging="1988"/>
        <w:rPr>
          <w:rFonts w:ascii="Arial" w:hAnsi="Arial"/>
          <w:b/>
        </w:rPr>
      </w:pPr>
      <w:r w:rsidRPr="00A47ABE">
        <w:rPr>
          <w:rFonts w:ascii="Arial" w:hAnsi="Arial"/>
          <w:b/>
        </w:rPr>
        <w:t>Source:</w:t>
      </w:r>
      <w:r w:rsidRPr="00A47ABE">
        <w:rPr>
          <w:rFonts w:ascii="Arial" w:hAnsi="Arial"/>
          <w:b/>
        </w:rPr>
        <w:tab/>
        <w:t>Robert Bosch GmbH</w:t>
      </w:r>
    </w:p>
    <w:p w14:paraId="7C40720C" w14:textId="5E122A07" w:rsidR="00E43D31" w:rsidRPr="00A47ABE" w:rsidRDefault="00E43D31" w:rsidP="00E43D31">
      <w:pPr>
        <w:spacing w:after="120"/>
        <w:ind w:left="1988" w:hanging="1988"/>
        <w:rPr>
          <w:rFonts w:ascii="Arial" w:hAnsi="Arial"/>
          <w:b/>
        </w:rPr>
      </w:pPr>
      <w:r w:rsidRPr="00A47ABE">
        <w:rPr>
          <w:rFonts w:ascii="Arial" w:hAnsi="Arial"/>
          <w:b/>
        </w:rPr>
        <w:t>Title:</w:t>
      </w:r>
      <w:r w:rsidRPr="00A47ABE">
        <w:rPr>
          <w:rFonts w:ascii="Arial" w:hAnsi="Arial"/>
          <w:b/>
        </w:rPr>
        <w:tab/>
      </w:r>
      <w:bookmarkStart w:id="0" w:name="_Hlk110607678"/>
      <w:r w:rsidR="006414D9" w:rsidRPr="006414D9">
        <w:rPr>
          <w:rFonts w:ascii="Arial" w:hAnsi="Arial"/>
          <w:b/>
        </w:rPr>
        <w:t xml:space="preserve">Views on </w:t>
      </w:r>
      <w:bookmarkStart w:id="1" w:name="_Hlk108164181"/>
      <w:r w:rsidR="00825B0C" w:rsidRPr="00825B0C">
        <w:rPr>
          <w:rFonts w:ascii="Arial" w:hAnsi="Arial"/>
          <w:b/>
        </w:rPr>
        <w:t>SL positioning scenarios and requirements</w:t>
      </w:r>
      <w:bookmarkEnd w:id="0"/>
    </w:p>
    <w:bookmarkEnd w:id="1"/>
    <w:p w14:paraId="4F641F69" w14:textId="77777777" w:rsidR="00E43D31" w:rsidRPr="00A012EF" w:rsidRDefault="00E43D31" w:rsidP="00E43D31">
      <w:pPr>
        <w:spacing w:after="120"/>
        <w:ind w:left="1988" w:hanging="1988"/>
        <w:rPr>
          <w:rFonts w:ascii="Arial" w:hAnsi="Arial"/>
          <w:b/>
        </w:rPr>
      </w:pPr>
      <w:r w:rsidRPr="00A012EF">
        <w:rPr>
          <w:rFonts w:ascii="Arial" w:hAnsi="Arial"/>
          <w:b/>
        </w:rPr>
        <w:t>Document for:</w:t>
      </w:r>
      <w:r w:rsidRPr="00A012EF">
        <w:rPr>
          <w:rFonts w:ascii="Arial" w:hAnsi="Arial"/>
          <w:b/>
        </w:rPr>
        <w:tab/>
      </w:r>
      <w:r>
        <w:rPr>
          <w:rFonts w:ascii="Arial" w:hAnsi="Arial"/>
          <w:b/>
        </w:rPr>
        <w:t>Decision</w:t>
      </w:r>
      <w:r w:rsidRPr="00A012EF">
        <w:rPr>
          <w:rFonts w:ascii="Arial" w:hAnsi="Arial"/>
          <w:b/>
        </w:rPr>
        <w:t xml:space="preserve"> </w:t>
      </w:r>
    </w:p>
    <w:p w14:paraId="68B22B25" w14:textId="77777777" w:rsidR="009B4566" w:rsidRPr="00366E0C" w:rsidRDefault="009B4566" w:rsidP="00970FDC">
      <w:pPr>
        <w:pStyle w:val="berschrift1"/>
        <w:spacing w:after="120"/>
        <w:ind w:left="431" w:hanging="431"/>
        <w:jc w:val="both"/>
        <w:rPr>
          <w:rFonts w:ascii="Times New Roman" w:hAnsi="Times New Roman"/>
          <w:b/>
          <w:sz w:val="32"/>
          <w:lang w:eastAsia="ja-JP"/>
        </w:rPr>
      </w:pPr>
      <w:r w:rsidRPr="00366E0C">
        <w:rPr>
          <w:rFonts w:ascii="Times New Roman" w:hAnsi="Times New Roman"/>
          <w:b/>
          <w:sz w:val="32"/>
          <w:lang w:eastAsia="ja-JP"/>
        </w:rPr>
        <w:t>Introduction</w:t>
      </w:r>
    </w:p>
    <w:p w14:paraId="74589675" w14:textId="3708AB0F" w:rsidR="005C6EA8" w:rsidRDefault="005C6EA8" w:rsidP="00522B30">
      <w:pPr>
        <w:spacing w:after="0"/>
        <w:jc w:val="both"/>
        <w:rPr>
          <w:sz w:val="22"/>
        </w:rPr>
      </w:pPr>
      <w:r>
        <w:rPr>
          <w:sz w:val="22"/>
        </w:rPr>
        <w:t>RAN1#109e started to discuss the Rel.-18 “</w:t>
      </w:r>
      <w:bookmarkStart w:id="2" w:name="_Hlk110607612"/>
      <w:r w:rsidRPr="005C6EA8">
        <w:rPr>
          <w:sz w:val="22"/>
        </w:rPr>
        <w:t>Study on expanded and improved NR positioning</w:t>
      </w:r>
      <w:bookmarkEnd w:id="2"/>
      <w:r>
        <w:rPr>
          <w:sz w:val="22"/>
        </w:rPr>
        <w:t xml:space="preserve">”. The </w:t>
      </w:r>
      <w:r w:rsidR="00E96C83">
        <w:rPr>
          <w:sz w:val="22"/>
        </w:rPr>
        <w:t>S</w:t>
      </w:r>
      <w:r>
        <w:rPr>
          <w:sz w:val="22"/>
        </w:rPr>
        <w:t>ID covered the following aspects regarding sidelink positioning scenarios and requirements</w:t>
      </w:r>
      <w:r w:rsidR="00734166">
        <w:rPr>
          <w:sz w:val="22"/>
        </w:rPr>
        <w:t xml:space="preserve"> [1]</w:t>
      </w:r>
      <w:r>
        <w:rPr>
          <w:sz w:val="22"/>
        </w:rPr>
        <w:t xml:space="preserve">. </w:t>
      </w:r>
    </w:p>
    <w:p w14:paraId="0E358139" w14:textId="77777777" w:rsidR="0016494E" w:rsidRDefault="0016494E" w:rsidP="00522B30">
      <w:pPr>
        <w:spacing w:after="0"/>
        <w:jc w:val="both"/>
        <w:rPr>
          <w:sz w:val="22"/>
          <w:lang w:eastAsia="ja-JP"/>
        </w:rPr>
      </w:pPr>
    </w:p>
    <w:p w14:paraId="2560635D" w14:textId="20794A93" w:rsidR="008C24B0" w:rsidRDefault="008C24B0" w:rsidP="00522B30">
      <w:pPr>
        <w:spacing w:after="0"/>
        <w:jc w:val="both"/>
        <w:rPr>
          <w:sz w:val="22"/>
          <w:lang w:eastAsia="ja-JP"/>
        </w:rPr>
      </w:pPr>
      <w:r w:rsidRPr="00612D13">
        <w:rPr>
          <w:b/>
          <w:bCs/>
          <w:noProof/>
        </w:rPr>
        <mc:AlternateContent>
          <mc:Choice Requires="wps">
            <w:drawing>
              <wp:inline distT="0" distB="0" distL="0" distR="0" wp14:anchorId="682EC02B" wp14:editId="5249A998">
                <wp:extent cx="6120765" cy="2905125"/>
                <wp:effectExtent l="0" t="0" r="13335" b="28575"/>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05125"/>
                        </a:xfrm>
                        <a:prstGeom prst="rect">
                          <a:avLst/>
                        </a:prstGeom>
                        <a:solidFill>
                          <a:srgbClr val="FFFFFF"/>
                        </a:solidFill>
                        <a:ln w="9525">
                          <a:solidFill>
                            <a:srgbClr val="000000"/>
                          </a:solidFill>
                          <a:miter lim="800000"/>
                          <a:headEnd/>
                          <a:tailEnd/>
                        </a:ln>
                      </wps:spPr>
                      <wps:txbx>
                        <w:txbxContent>
                          <w:p w14:paraId="21327544" w14:textId="77777777" w:rsidR="00825B0C" w:rsidRPr="00825B0C" w:rsidRDefault="00825B0C" w:rsidP="00825B0C">
                            <w:pPr>
                              <w:numPr>
                                <w:ilvl w:val="0"/>
                                <w:numId w:val="40"/>
                              </w:numPr>
                              <w:spacing w:after="0" w:line="256" w:lineRule="auto"/>
                              <w:ind w:left="720"/>
                              <w:rPr>
                                <w:rFonts w:ascii="Calibri" w:eastAsia="Calibri" w:hAnsi="Calibri"/>
                                <w:bCs/>
                                <w:sz w:val="22"/>
                                <w:szCs w:val="22"/>
                                <w:lang w:val="en-US"/>
                              </w:rPr>
                            </w:pPr>
                            <w:r w:rsidRPr="00825B0C">
                              <w:rPr>
                                <w:rFonts w:ascii="Calibri" w:eastAsia="Calibri" w:hAnsi="Calibri"/>
                                <w:bCs/>
                                <w:sz w:val="22"/>
                                <w:szCs w:val="22"/>
                                <w:lang w:val="en-US"/>
                              </w:rPr>
                              <w:t xml:space="preserve">Study solutions for sidelink positioning considering the following: [RAN1, RAN2] </w:t>
                            </w:r>
                          </w:p>
                          <w:p w14:paraId="27C97511" w14:textId="77777777" w:rsidR="00825B0C" w:rsidRPr="00825B0C" w:rsidRDefault="00825B0C" w:rsidP="00825B0C">
                            <w:pPr>
                              <w:numPr>
                                <w:ilvl w:val="0"/>
                                <w:numId w:val="40"/>
                              </w:numPr>
                              <w:spacing w:after="0" w:line="256" w:lineRule="auto"/>
                              <w:ind w:left="1080"/>
                              <w:rPr>
                                <w:rFonts w:ascii="Calibri" w:eastAsia="Calibri" w:hAnsi="Calibri"/>
                                <w:bCs/>
                                <w:sz w:val="22"/>
                                <w:szCs w:val="22"/>
                                <w:lang w:val="de-DE"/>
                              </w:rPr>
                            </w:pPr>
                            <w:r w:rsidRPr="00825B0C">
                              <w:rPr>
                                <w:rFonts w:ascii="Calibri" w:eastAsia="Calibri" w:hAnsi="Calibri"/>
                                <w:bCs/>
                                <w:sz w:val="22"/>
                                <w:szCs w:val="22"/>
                                <w:lang w:val="de-DE"/>
                              </w:rPr>
                              <w:t xml:space="preserve">Scenario/requirements </w:t>
                            </w:r>
                          </w:p>
                          <w:p w14:paraId="769CCBF6"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 xml:space="preserve">Coverage scenarios to </w:t>
                            </w:r>
                            <w:proofErr w:type="gramStart"/>
                            <w:r w:rsidRPr="00825B0C">
                              <w:rPr>
                                <w:rFonts w:ascii="Calibri" w:eastAsia="Calibri" w:hAnsi="Calibri"/>
                                <w:bCs/>
                                <w:sz w:val="22"/>
                                <w:szCs w:val="22"/>
                                <w:lang w:val="en-US"/>
                              </w:rPr>
                              <w:t>cover:</w:t>
                            </w:r>
                            <w:proofErr w:type="gramEnd"/>
                            <w:r w:rsidRPr="00825B0C">
                              <w:rPr>
                                <w:rFonts w:ascii="Calibri" w:eastAsia="Calibri" w:hAnsi="Calibri"/>
                                <w:bCs/>
                                <w:sz w:val="22"/>
                                <w:szCs w:val="22"/>
                                <w:lang w:val="en-US"/>
                              </w:rPr>
                              <w:t xml:space="preserve"> in-coverage, partial-coverage and out-of-coverage</w:t>
                            </w:r>
                          </w:p>
                          <w:p w14:paraId="7849A4C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Requirements: Based on requirements identified in TR38.845 and TS22.261 and TS22.104</w:t>
                            </w:r>
                          </w:p>
                          <w:p w14:paraId="3C44908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Use cases: V2X (TR38.845), public safety (TR38.845), commercial (TS22.261), IIOT (TS22.104)</w:t>
                            </w:r>
                          </w:p>
                          <w:p w14:paraId="2D6AA56D" w14:textId="597190FD" w:rsidR="00825B0C" w:rsidRDefault="00825B0C" w:rsidP="00825B0C">
                            <w:pPr>
                              <w:numPr>
                                <w:ilvl w:val="1"/>
                                <w:numId w:val="40"/>
                              </w:numPr>
                              <w:spacing w:after="0" w:line="256" w:lineRule="auto"/>
                              <w:ind w:left="1440"/>
                              <w:rPr>
                                <w:rFonts w:ascii="Calibri" w:eastAsia="Calibri" w:hAnsi="Calibri"/>
                                <w:bCs/>
                                <w:sz w:val="22"/>
                                <w:szCs w:val="22"/>
                                <w:lang w:val="de-DE"/>
                              </w:rPr>
                            </w:pPr>
                            <w:r w:rsidRPr="00825B0C">
                              <w:rPr>
                                <w:rFonts w:ascii="Calibri" w:eastAsia="Calibri" w:hAnsi="Calibri"/>
                                <w:bCs/>
                                <w:sz w:val="22"/>
                                <w:szCs w:val="22"/>
                                <w:lang w:val="de-DE"/>
                              </w:rPr>
                              <w:t>Spectrum: ITS, licensed</w:t>
                            </w:r>
                          </w:p>
                          <w:p w14:paraId="0C338478" w14:textId="77777777" w:rsidR="00647B9A" w:rsidRPr="00647B9A" w:rsidRDefault="00647B9A" w:rsidP="00647B9A">
                            <w:pPr>
                              <w:pStyle w:val="Listenabsatz"/>
                              <w:numPr>
                                <w:ilvl w:val="0"/>
                                <w:numId w:val="40"/>
                              </w:numPr>
                              <w:ind w:left="709"/>
                              <w:rPr>
                                <w:rFonts w:eastAsia="Calibri" w:cs="Times New Roman"/>
                                <w:bCs/>
                                <w:lang w:eastAsia="en-US"/>
                              </w:rPr>
                            </w:pPr>
                            <w:r w:rsidRPr="00647B9A">
                              <w:rPr>
                                <w:rFonts w:eastAsia="Calibri" w:cs="Times New Roman"/>
                                <w:bCs/>
                                <w:lang w:eastAsia="en-US"/>
                              </w:rPr>
                              <w:t>Identify specific target performance requirements to be considered for the evaluation based on existing 3GPP work and inputs from industry forums [RAN1]</w:t>
                            </w:r>
                          </w:p>
                          <w:p w14:paraId="62773122" w14:textId="77777777" w:rsidR="00825B0C" w:rsidRPr="00647B9A" w:rsidRDefault="00825B0C" w:rsidP="005C6EA8">
                            <w:pPr>
                              <w:spacing w:after="0" w:line="256" w:lineRule="auto"/>
                              <w:rPr>
                                <w:rFonts w:ascii="Calibri" w:eastAsia="Calibri" w:hAnsi="Calibri"/>
                                <w:bCs/>
                                <w:sz w:val="22"/>
                                <w:szCs w:val="22"/>
                                <w:lang w:val="en-US"/>
                              </w:rPr>
                            </w:pPr>
                          </w:p>
                          <w:p w14:paraId="6C41AC41" w14:textId="77777777" w:rsidR="008C24B0" w:rsidRPr="00612D13" w:rsidRDefault="008C24B0" w:rsidP="008C24B0">
                            <w:pPr>
                              <w:spacing w:after="0" w:line="256" w:lineRule="auto"/>
                              <w:ind w:left="1080"/>
                              <w:rPr>
                                <w:rFonts w:eastAsia="Calibri"/>
                                <w:bCs/>
                                <w:sz w:val="22"/>
                                <w:szCs w:val="22"/>
                                <w:lang w:val="en-US"/>
                              </w:rPr>
                            </w:pPr>
                            <w:r w:rsidRPr="00612D13">
                              <w:rPr>
                                <w:rFonts w:eastAsia="Calibri"/>
                                <w:bCs/>
                                <w:sz w:val="22"/>
                                <w:szCs w:val="22"/>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E7A2F67" w14:textId="77777777" w:rsidR="008C24B0" w:rsidRPr="00612D13" w:rsidRDefault="008C24B0" w:rsidP="008C24B0">
                            <w:pPr>
                              <w:rPr>
                                <w:lang w:val="en-US"/>
                              </w:rPr>
                            </w:pPr>
                          </w:p>
                        </w:txbxContent>
                      </wps:txbx>
                      <wps:bodyPr rot="0" vert="horz" wrap="square" lIns="91440" tIns="45720" rIns="91440" bIns="45720" anchor="t" anchorCtr="0">
                        <a:noAutofit/>
                      </wps:bodyPr>
                    </wps:wsp>
                  </a:graphicData>
                </a:graphic>
              </wp:inline>
            </w:drawing>
          </mc:Choice>
          <mc:Fallback>
            <w:pict>
              <v:shapetype w14:anchorId="682EC02B" id="_x0000_t202" coordsize="21600,21600" o:spt="202" path="m,l,21600r21600,l21600,xe">
                <v:stroke joinstyle="miter"/>
                <v:path gradientshapeok="t" o:connecttype="rect"/>
              </v:shapetype>
              <v:shape id="Textfeld 2" o:spid="_x0000_s1026" type="#_x0000_t202" style="width:481.95pt;height:2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">
                <v:textbox>
                  <w:txbxContent>
                    <w:p w14:paraId="21327544" w14:textId="77777777" w:rsidR="00825B0C" w:rsidRPr="00825B0C" w:rsidRDefault="00825B0C" w:rsidP="00825B0C">
                      <w:pPr>
                        <w:numPr>
                          <w:ilvl w:val="0"/>
                          <w:numId w:val="40"/>
                        </w:numPr>
                        <w:spacing w:after="0" w:line="256" w:lineRule="auto"/>
                        <w:ind w:left="720"/>
                        <w:rPr>
                          <w:rFonts w:ascii="Calibri" w:eastAsia="Calibri" w:hAnsi="Calibri"/>
                          <w:bCs/>
                          <w:sz w:val="22"/>
                          <w:szCs w:val="22"/>
                          <w:lang w:val="en-US"/>
                        </w:rPr>
                      </w:pPr>
                      <w:r w:rsidRPr="00825B0C">
                        <w:rPr>
                          <w:rFonts w:ascii="Calibri" w:eastAsia="Calibri" w:hAnsi="Calibri"/>
                          <w:bCs/>
                          <w:sz w:val="22"/>
                          <w:szCs w:val="22"/>
                          <w:lang w:val="en-US"/>
                        </w:rPr>
                        <w:t xml:space="preserve">Study solutions for sidelink positioning considering the following: [RAN1, RAN2] </w:t>
                      </w:r>
                    </w:p>
                    <w:p w14:paraId="27C97511" w14:textId="77777777" w:rsidR="00825B0C" w:rsidRPr="00825B0C" w:rsidRDefault="00825B0C" w:rsidP="00825B0C">
                      <w:pPr>
                        <w:numPr>
                          <w:ilvl w:val="0"/>
                          <w:numId w:val="40"/>
                        </w:numPr>
                        <w:spacing w:after="0" w:line="256" w:lineRule="auto"/>
                        <w:ind w:left="1080"/>
                        <w:rPr>
                          <w:rFonts w:ascii="Calibri" w:eastAsia="Calibri" w:hAnsi="Calibri"/>
                          <w:bCs/>
                          <w:sz w:val="22"/>
                          <w:szCs w:val="22"/>
                          <w:lang w:val="de-DE"/>
                        </w:rPr>
                      </w:pPr>
                      <w:r w:rsidRPr="00825B0C">
                        <w:rPr>
                          <w:rFonts w:ascii="Calibri" w:eastAsia="Calibri" w:hAnsi="Calibri"/>
                          <w:bCs/>
                          <w:sz w:val="22"/>
                          <w:szCs w:val="22"/>
                          <w:lang w:val="de-DE"/>
                        </w:rPr>
                        <w:t xml:space="preserve">Scenario/requirements </w:t>
                      </w:r>
                    </w:p>
                    <w:p w14:paraId="769CCBF6"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Coverage scenarios to cover: in-coverage, partial-coverage and out-of-coverage</w:t>
                      </w:r>
                    </w:p>
                    <w:p w14:paraId="7849A4C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Requirements: Based on requirements identified in TR38.845 and TS22.261 and TS22.104</w:t>
                      </w:r>
                    </w:p>
                    <w:p w14:paraId="3C44908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Use cases: V2X (TR38.845), public safety (TR38.845), commercial (TS22.261), IIOT (TS22.104)</w:t>
                      </w:r>
                    </w:p>
                    <w:p w14:paraId="2D6AA56D" w14:textId="597190FD" w:rsidR="00825B0C" w:rsidRDefault="00825B0C" w:rsidP="00825B0C">
                      <w:pPr>
                        <w:numPr>
                          <w:ilvl w:val="1"/>
                          <w:numId w:val="40"/>
                        </w:numPr>
                        <w:spacing w:after="0" w:line="256" w:lineRule="auto"/>
                        <w:ind w:left="1440"/>
                        <w:rPr>
                          <w:rFonts w:ascii="Calibri" w:eastAsia="Calibri" w:hAnsi="Calibri"/>
                          <w:bCs/>
                          <w:sz w:val="22"/>
                          <w:szCs w:val="22"/>
                          <w:lang w:val="de-DE"/>
                        </w:rPr>
                      </w:pPr>
                      <w:r w:rsidRPr="00825B0C">
                        <w:rPr>
                          <w:rFonts w:ascii="Calibri" w:eastAsia="Calibri" w:hAnsi="Calibri"/>
                          <w:bCs/>
                          <w:sz w:val="22"/>
                          <w:szCs w:val="22"/>
                          <w:lang w:val="de-DE"/>
                        </w:rPr>
                        <w:t>Spectrum: ITS, licensed</w:t>
                      </w:r>
                    </w:p>
                    <w:p w14:paraId="0C338478" w14:textId="77777777" w:rsidR="00647B9A" w:rsidRPr="00647B9A" w:rsidRDefault="00647B9A" w:rsidP="00647B9A">
                      <w:pPr>
                        <w:pStyle w:val="ListParagraph"/>
                        <w:numPr>
                          <w:ilvl w:val="0"/>
                          <w:numId w:val="40"/>
                        </w:numPr>
                        <w:ind w:left="709"/>
                        <w:rPr>
                          <w:rFonts w:eastAsia="Calibri" w:cs="Times New Roman"/>
                          <w:bCs/>
                          <w:lang w:eastAsia="en-US"/>
                        </w:rPr>
                      </w:pPr>
                      <w:r w:rsidRPr="00647B9A">
                        <w:rPr>
                          <w:rFonts w:eastAsia="Calibri" w:cs="Times New Roman"/>
                          <w:bCs/>
                          <w:lang w:eastAsia="en-US"/>
                        </w:rPr>
                        <w:t>Identify specific target performance requirements to be considered for the evaluation based on existing 3GPP work and inputs from industry forums [RAN1]</w:t>
                      </w:r>
                    </w:p>
                    <w:p w14:paraId="62773122" w14:textId="77777777" w:rsidR="00825B0C" w:rsidRPr="00647B9A" w:rsidRDefault="00825B0C" w:rsidP="005C6EA8">
                      <w:pPr>
                        <w:spacing w:after="0" w:line="256" w:lineRule="auto"/>
                        <w:rPr>
                          <w:rFonts w:ascii="Calibri" w:eastAsia="Calibri" w:hAnsi="Calibri"/>
                          <w:bCs/>
                          <w:sz w:val="22"/>
                          <w:szCs w:val="22"/>
                          <w:lang w:val="en-US"/>
                        </w:rPr>
                      </w:pPr>
                    </w:p>
                    <w:p w14:paraId="6C41AC41" w14:textId="77777777" w:rsidR="008C24B0" w:rsidRPr="00612D13" w:rsidRDefault="008C24B0" w:rsidP="008C24B0">
                      <w:pPr>
                        <w:spacing w:after="0" w:line="256" w:lineRule="auto"/>
                        <w:ind w:left="1080"/>
                        <w:rPr>
                          <w:rFonts w:eastAsia="Calibri"/>
                          <w:bCs/>
                          <w:sz w:val="22"/>
                          <w:szCs w:val="22"/>
                          <w:lang w:val="en-US"/>
                        </w:rPr>
                      </w:pPr>
                      <w:r w:rsidRPr="00612D13">
                        <w:rPr>
                          <w:rFonts w:eastAsia="Calibri"/>
                          <w:bCs/>
                          <w:sz w:val="22"/>
                          <w:szCs w:val="22"/>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E7A2F67" w14:textId="77777777" w:rsidR="008C24B0" w:rsidRPr="00612D13" w:rsidRDefault="008C24B0" w:rsidP="008C24B0">
                      <w:pPr>
                        <w:rPr>
                          <w:lang w:val="en-US"/>
                        </w:rPr>
                      </w:pPr>
                    </w:p>
                  </w:txbxContent>
                </v:textbox>
                <w10:anchorlock/>
              </v:shape>
            </w:pict>
          </mc:Fallback>
        </mc:AlternateContent>
      </w:r>
    </w:p>
    <w:p w14:paraId="7E321358" w14:textId="4F8A9DFB" w:rsidR="0016494E" w:rsidRDefault="0016494E" w:rsidP="00522B30">
      <w:pPr>
        <w:spacing w:after="0"/>
        <w:jc w:val="both"/>
        <w:rPr>
          <w:sz w:val="22"/>
          <w:lang w:eastAsia="ja-JP"/>
        </w:rPr>
      </w:pPr>
    </w:p>
    <w:p w14:paraId="6EFC1E7B" w14:textId="1191DD49" w:rsidR="005C6EA8" w:rsidRDefault="005C6EA8" w:rsidP="005C6EA8">
      <w:pPr>
        <w:spacing w:after="0"/>
        <w:jc w:val="both"/>
        <w:rPr>
          <w:sz w:val="22"/>
        </w:rPr>
      </w:pPr>
      <w:r>
        <w:rPr>
          <w:sz w:val="22"/>
        </w:rPr>
        <w:t>In RAN1#109e the following agreement</w:t>
      </w:r>
      <w:r w:rsidR="00734166">
        <w:rPr>
          <w:sz w:val="22"/>
        </w:rPr>
        <w:t>s</w:t>
      </w:r>
      <w:r>
        <w:rPr>
          <w:sz w:val="22"/>
        </w:rPr>
        <w:t xml:space="preserve"> </w:t>
      </w:r>
      <w:r w:rsidR="00734166">
        <w:rPr>
          <w:sz w:val="22"/>
        </w:rPr>
        <w:t>were</w:t>
      </w:r>
      <w:r>
        <w:rPr>
          <w:sz w:val="22"/>
        </w:rPr>
        <w:t xml:space="preserve"> found regarding </w:t>
      </w:r>
      <w:r w:rsidR="00734166">
        <w:rPr>
          <w:sz w:val="22"/>
        </w:rPr>
        <w:t xml:space="preserve">sidelink positioning scenarios and requirements </w:t>
      </w:r>
      <w:r>
        <w:rPr>
          <w:sz w:val="22"/>
        </w:rPr>
        <w:t>[2]:</w:t>
      </w:r>
    </w:p>
    <w:p w14:paraId="3AF78CA8" w14:textId="65239983" w:rsidR="005C6EA8" w:rsidRDefault="005C6EA8" w:rsidP="005C6EA8">
      <w:pPr>
        <w:spacing w:after="0"/>
        <w:jc w:val="both"/>
        <w:rPr>
          <w:sz w:val="22"/>
        </w:rPr>
      </w:pPr>
    </w:p>
    <w:p w14:paraId="62BD3514" w14:textId="77777777" w:rsidR="005C6EA8" w:rsidRDefault="005C6EA8" w:rsidP="009A27AD">
      <w:pPr>
        <w:spacing w:after="0"/>
        <w:rPr>
          <w:b/>
          <w:highlight w:val="green"/>
          <w:lang w:eastAsia="x-none"/>
        </w:rPr>
      </w:pPr>
      <w:r>
        <w:rPr>
          <w:b/>
          <w:highlight w:val="green"/>
          <w:lang w:eastAsia="x-none"/>
        </w:rPr>
        <w:t>Agreement</w:t>
      </w:r>
    </w:p>
    <w:p w14:paraId="0FAA3CA6" w14:textId="77777777" w:rsidR="005C6EA8" w:rsidRDefault="005C6EA8" w:rsidP="005C6EA8">
      <w:pPr>
        <w:rPr>
          <w:lang w:eastAsia="x-none"/>
        </w:rPr>
      </w:pPr>
      <w:r>
        <w:rPr>
          <w:lang w:eastAsia="x-none"/>
        </w:rPr>
        <w:t>For evaluations for SL positioning:</w:t>
      </w:r>
    </w:p>
    <w:p w14:paraId="10E573DD" w14:textId="77777777" w:rsidR="005C6EA8" w:rsidRDefault="005C6EA8" w:rsidP="005C6EA8">
      <w:pPr>
        <w:numPr>
          <w:ilvl w:val="0"/>
          <w:numId w:val="41"/>
        </w:numPr>
        <w:spacing w:after="0"/>
        <w:rPr>
          <w:lang w:eastAsia="x-none"/>
        </w:rPr>
      </w:pPr>
      <w:r>
        <w:rPr>
          <w:lang w:eastAsia="x-none"/>
        </w:rPr>
        <w:t>Operation in FR1 with channel bandwidths of up to 100 MHz are considered.</w:t>
      </w:r>
    </w:p>
    <w:p w14:paraId="4D9AAAAB" w14:textId="4CB9B808" w:rsidR="005C6EA8" w:rsidRDefault="005C6EA8" w:rsidP="005C6EA8">
      <w:pPr>
        <w:numPr>
          <w:ilvl w:val="0"/>
          <w:numId w:val="41"/>
        </w:numPr>
        <w:spacing w:after="0"/>
        <w:rPr>
          <w:lang w:eastAsia="x-none"/>
        </w:rPr>
      </w:pPr>
      <w:r>
        <w:rPr>
          <w:lang w:eastAsia="x-none"/>
        </w:rPr>
        <w:t>Optional: Operation in FR2 with channel bandwidths of up to 400 MHz are considered.</w:t>
      </w:r>
    </w:p>
    <w:p w14:paraId="0BD5E499" w14:textId="27AF8552" w:rsidR="00B85850" w:rsidRDefault="00B85850" w:rsidP="00B85850">
      <w:pPr>
        <w:spacing w:after="0"/>
        <w:rPr>
          <w:lang w:eastAsia="x-none"/>
        </w:rPr>
      </w:pPr>
    </w:p>
    <w:p w14:paraId="10EDF9C6" w14:textId="1DFFE195" w:rsidR="009A27AD" w:rsidRDefault="009A27AD" w:rsidP="009A27AD">
      <w:pPr>
        <w:spacing w:after="0"/>
        <w:jc w:val="both"/>
        <w:rPr>
          <w:sz w:val="22"/>
        </w:rPr>
      </w:pPr>
      <w:r w:rsidRPr="009A27AD">
        <w:rPr>
          <w:sz w:val="22"/>
        </w:rPr>
        <w:t>In another agenda item (9.5.1.2 Evaluation of SL positioning) and in-line with the previous agreement, the following has been agreed for evaluation purposes:</w:t>
      </w:r>
    </w:p>
    <w:p w14:paraId="159E60B6" w14:textId="77777777" w:rsidR="009A27AD" w:rsidRPr="009A27AD" w:rsidRDefault="009A27AD" w:rsidP="009A27AD">
      <w:pPr>
        <w:spacing w:after="0"/>
        <w:jc w:val="both"/>
        <w:rPr>
          <w:sz w:val="22"/>
        </w:rPr>
      </w:pPr>
    </w:p>
    <w:p w14:paraId="1493EC89" w14:textId="77777777" w:rsidR="009A27AD" w:rsidRPr="00535706" w:rsidRDefault="009A27AD" w:rsidP="009A27AD">
      <w:pPr>
        <w:rPr>
          <w:rFonts w:eastAsia="SimSun" w:cs="Times"/>
          <w:b/>
          <w:bCs/>
          <w:lang w:val="en-US" w:eastAsia="ko-KR"/>
        </w:rPr>
      </w:pPr>
      <w:r w:rsidRPr="00535706">
        <w:rPr>
          <w:rFonts w:cs="Times"/>
          <w:b/>
          <w:bCs/>
          <w:highlight w:val="green"/>
        </w:rPr>
        <w:t>Agreement</w:t>
      </w:r>
    </w:p>
    <w:p w14:paraId="09E601D0" w14:textId="77777777" w:rsidR="009A27AD" w:rsidRDefault="009A27AD" w:rsidP="009A27AD">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w:t>
      </w:r>
      <w:r w:rsidRPr="00A34F95">
        <w:rPr>
          <w:kern w:val="2"/>
          <w:sz w:val="20"/>
          <w:szCs w:val="20"/>
        </w:rPr>
        <w:t>10,</w:t>
      </w:r>
      <w:r>
        <w:rPr>
          <w:kern w:val="2"/>
          <w:sz w:val="20"/>
          <w:szCs w:val="20"/>
        </w:rPr>
        <w:t xml:space="preserve"> 20, 40 and 100 MHz in FR1 can be used.</w:t>
      </w:r>
      <w:r>
        <w:rPr>
          <w:sz w:val="20"/>
          <w:szCs w:val="20"/>
        </w:rPr>
        <w:t xml:space="preserve"> </w:t>
      </w:r>
    </w:p>
    <w:p w14:paraId="57E04B53" w14:textId="77777777" w:rsidR="009A27AD" w:rsidRDefault="009A27AD" w:rsidP="009A27AD">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100, 200 and 400MHz in FR2 can be used.</w:t>
      </w:r>
    </w:p>
    <w:p w14:paraId="76F6E0EC" w14:textId="77777777" w:rsidR="009A27AD" w:rsidRDefault="009A27AD" w:rsidP="005C6EA8">
      <w:pPr>
        <w:spacing w:after="0"/>
        <w:jc w:val="both"/>
        <w:rPr>
          <w:lang w:val="en-US" w:eastAsia="x-none"/>
        </w:rPr>
      </w:pPr>
    </w:p>
    <w:p w14:paraId="1D8A6E7B" w14:textId="1379BEA2" w:rsidR="005C6EA8" w:rsidRDefault="009A27AD" w:rsidP="005C6EA8">
      <w:pPr>
        <w:spacing w:after="0"/>
        <w:jc w:val="both"/>
        <w:rPr>
          <w:sz w:val="22"/>
        </w:rPr>
      </w:pPr>
      <w:r w:rsidRPr="009A27AD">
        <w:rPr>
          <w:sz w:val="22"/>
        </w:rPr>
        <w:t>Additionally, the following accuracy requirements for V2X use cases are considered</w:t>
      </w:r>
      <w:r>
        <w:rPr>
          <w:sz w:val="22"/>
        </w:rPr>
        <w:t>:</w:t>
      </w:r>
    </w:p>
    <w:p w14:paraId="759649F8" w14:textId="77777777" w:rsidR="005C6EA8" w:rsidRDefault="005C6EA8" w:rsidP="005C6EA8">
      <w:pPr>
        <w:rPr>
          <w:b/>
          <w:lang w:eastAsia="x-none"/>
        </w:rPr>
      </w:pPr>
      <w:r>
        <w:rPr>
          <w:b/>
          <w:highlight w:val="darkYellow"/>
          <w:lang w:eastAsia="x-none"/>
        </w:rPr>
        <w:t>Working assumption</w:t>
      </w:r>
    </w:p>
    <w:p w14:paraId="21A0B73E" w14:textId="77777777" w:rsidR="005C6EA8" w:rsidRDefault="005C6EA8" w:rsidP="005C6EA8">
      <w:pPr>
        <w:pStyle w:val="Listenabsatz"/>
        <w:snapToGrid w:val="0"/>
        <w:ind w:left="0"/>
        <w:contextualSpacing/>
        <w:jc w:val="both"/>
        <w:rPr>
          <w:iCs/>
          <w:lang w:eastAsia="x-none"/>
        </w:rPr>
      </w:pPr>
      <w:r>
        <w:rPr>
          <w:iCs/>
        </w:rPr>
        <w:t xml:space="preserve">For evaluation of V2X use-cases for SL positioning, the following </w:t>
      </w:r>
      <w:bookmarkStart w:id="3" w:name="_Hlk111064920"/>
      <w:r>
        <w:rPr>
          <w:iCs/>
        </w:rPr>
        <w:t>accuracy requirements are considered</w:t>
      </w:r>
      <w:bookmarkEnd w:id="3"/>
      <w:r>
        <w:rPr>
          <w:iCs/>
        </w:rPr>
        <w:t>:</w:t>
      </w:r>
    </w:p>
    <w:p w14:paraId="2DA27AA6" w14:textId="77777777" w:rsidR="005C6EA8" w:rsidRDefault="005C6EA8" w:rsidP="005C6EA8">
      <w:pPr>
        <w:numPr>
          <w:ilvl w:val="0"/>
          <w:numId w:val="41"/>
        </w:numPr>
        <w:spacing w:after="0"/>
      </w:pPr>
      <w:r>
        <w:rPr>
          <w:iCs/>
        </w:rPr>
        <w:t>Set A (</w:t>
      </w:r>
      <w:proofErr w:type="gramStart"/>
      <w:r>
        <w:rPr>
          <w:iCs/>
        </w:rPr>
        <w:t>similar to</w:t>
      </w:r>
      <w:proofErr w:type="gramEnd"/>
      <w:r>
        <w:rPr>
          <w:iCs/>
        </w:rPr>
        <w:t xml:space="preserve"> “Set 2” defined in TR 38.845)</w:t>
      </w:r>
    </w:p>
    <w:p w14:paraId="4D4803D4" w14:textId="77777777" w:rsidR="005C6EA8" w:rsidRDefault="005C6EA8" w:rsidP="005C6EA8">
      <w:pPr>
        <w:numPr>
          <w:ilvl w:val="1"/>
          <w:numId w:val="41"/>
        </w:numPr>
        <w:spacing w:after="0"/>
        <w:rPr>
          <w:iCs/>
        </w:rPr>
      </w:pPr>
      <w:r>
        <w:rPr>
          <w:iCs/>
        </w:rPr>
        <w:t>Horizontal accuracy of 1.5 m (absolute and relative); Vertical accuracy of 3 m (absolute and relative) for 90% of UEs</w:t>
      </w:r>
    </w:p>
    <w:p w14:paraId="5EC7A778" w14:textId="77777777" w:rsidR="005C6EA8" w:rsidRDefault="005C6EA8" w:rsidP="005C6EA8">
      <w:pPr>
        <w:numPr>
          <w:ilvl w:val="0"/>
          <w:numId w:val="41"/>
        </w:numPr>
        <w:spacing w:after="0"/>
      </w:pPr>
      <w:r>
        <w:rPr>
          <w:bCs/>
          <w:iCs/>
        </w:rPr>
        <w:lastRenderedPageBreak/>
        <w:t>Set B (</w:t>
      </w:r>
      <w:proofErr w:type="gramStart"/>
      <w:r>
        <w:rPr>
          <w:bCs/>
          <w:iCs/>
        </w:rPr>
        <w:t>s</w:t>
      </w:r>
      <w:r>
        <w:rPr>
          <w:iCs/>
        </w:rPr>
        <w:t>imilar to</w:t>
      </w:r>
      <w:proofErr w:type="gramEnd"/>
      <w:r>
        <w:rPr>
          <w:iCs/>
        </w:rPr>
        <w:t xml:space="preserve"> “Set 3” defined in TR 38.845)</w:t>
      </w:r>
    </w:p>
    <w:p w14:paraId="2C707D10" w14:textId="77777777" w:rsidR="005C6EA8" w:rsidRDefault="005C6EA8" w:rsidP="005C6EA8">
      <w:pPr>
        <w:numPr>
          <w:ilvl w:val="1"/>
          <w:numId w:val="41"/>
        </w:numPr>
        <w:spacing w:after="0"/>
        <w:rPr>
          <w:iCs/>
        </w:rPr>
      </w:pPr>
      <w:r>
        <w:rPr>
          <w:iCs/>
        </w:rPr>
        <w:t>Horizontal accuracy of 0.5 m (absolute and relative); Vertical accuracy of 2 m (absolute and relative) for 90% of UEs</w:t>
      </w:r>
    </w:p>
    <w:p w14:paraId="727A99D0" w14:textId="77777777" w:rsidR="005C6EA8" w:rsidRDefault="005C6EA8" w:rsidP="005C6EA8">
      <w:pPr>
        <w:numPr>
          <w:ilvl w:val="0"/>
          <w:numId w:val="41"/>
        </w:numPr>
        <w:spacing w:after="0"/>
        <w:rPr>
          <w:iCs/>
        </w:rPr>
      </w:pPr>
      <w:r>
        <w:rPr>
          <w:iCs/>
        </w:rPr>
        <w:t xml:space="preserve">Note 1: For evaluated SL positioning methods, companies are expected to report: </w:t>
      </w:r>
    </w:p>
    <w:p w14:paraId="646BB9F2" w14:textId="77777777" w:rsidR="005C6EA8" w:rsidRDefault="005C6EA8" w:rsidP="005C6EA8">
      <w:pPr>
        <w:numPr>
          <w:ilvl w:val="1"/>
          <w:numId w:val="41"/>
        </w:numPr>
        <w:spacing w:after="0"/>
        <w:rPr>
          <w:iCs/>
        </w:rPr>
      </w:pPr>
      <w:r>
        <w:rPr>
          <w:iCs/>
        </w:rPr>
        <w:t xml:space="preserve">(1) whether each of the two requirements are satisfied, and </w:t>
      </w:r>
    </w:p>
    <w:p w14:paraId="13C95CA6" w14:textId="77777777" w:rsidR="005C6EA8" w:rsidRDefault="005C6EA8" w:rsidP="005C6EA8">
      <w:pPr>
        <w:numPr>
          <w:ilvl w:val="1"/>
          <w:numId w:val="41"/>
        </w:numPr>
        <w:spacing w:after="0"/>
        <w:rPr>
          <w:iCs/>
        </w:rPr>
      </w:pPr>
      <w:r>
        <w:rPr>
          <w:iCs/>
        </w:rPr>
        <w:t>(2) %-ile of UEs satisfying the target positioning accuracy for a requirement that may not be satisfied with 90%.</w:t>
      </w:r>
    </w:p>
    <w:p w14:paraId="2EF3F6B7" w14:textId="77777777" w:rsidR="005C6EA8" w:rsidRDefault="005C6EA8" w:rsidP="005C6EA8">
      <w:pPr>
        <w:numPr>
          <w:ilvl w:val="0"/>
          <w:numId w:val="41"/>
        </w:numPr>
        <w:spacing w:after="0"/>
        <w:rPr>
          <w:iCs/>
        </w:rPr>
      </w:pPr>
      <w:r>
        <w:rPr>
          <w:iCs/>
        </w:rPr>
        <w:t>Note 2: target positioning requirements may not necessarily be reached for all scenarios and deployments</w:t>
      </w:r>
    </w:p>
    <w:p w14:paraId="604C9CFA" w14:textId="77777777" w:rsidR="005C6EA8" w:rsidRDefault="005C6EA8" w:rsidP="005C6EA8">
      <w:pPr>
        <w:numPr>
          <w:ilvl w:val="0"/>
          <w:numId w:val="41"/>
        </w:numPr>
        <w:spacing w:after="0"/>
        <w:rPr>
          <w:iCs/>
        </w:rPr>
      </w:pPr>
      <w:r>
        <w:rPr>
          <w:iCs/>
        </w:rPr>
        <w:t>Note 3: all positioning techniques may not achieve all positioning requirements in all scenarios</w:t>
      </w:r>
    </w:p>
    <w:p w14:paraId="6771033E" w14:textId="268AA985" w:rsidR="005C6EA8" w:rsidRDefault="005C6EA8" w:rsidP="00522B30">
      <w:pPr>
        <w:spacing w:after="0"/>
        <w:jc w:val="both"/>
        <w:rPr>
          <w:sz w:val="22"/>
          <w:lang w:eastAsia="ja-JP"/>
        </w:rPr>
      </w:pPr>
    </w:p>
    <w:p w14:paraId="2D98656C" w14:textId="77777777" w:rsidR="00825B0C" w:rsidRDefault="00825B0C" w:rsidP="00612D13">
      <w:pPr>
        <w:pStyle w:val="berschrift1"/>
        <w:rPr>
          <w:lang w:eastAsia="ja-JP"/>
        </w:rPr>
      </w:pPr>
      <w:r w:rsidRPr="00825B0C">
        <w:rPr>
          <w:lang w:eastAsia="ja-JP"/>
        </w:rPr>
        <w:t>SL positioning scenarios and requirements</w:t>
      </w:r>
    </w:p>
    <w:p w14:paraId="006E0C19" w14:textId="18D2BEFA" w:rsidR="00A74A95" w:rsidRDefault="0016494E" w:rsidP="0016494E">
      <w:pPr>
        <w:spacing w:after="240"/>
        <w:jc w:val="both"/>
        <w:rPr>
          <w:sz w:val="22"/>
        </w:rPr>
      </w:pPr>
      <w:r w:rsidRPr="00601DA6">
        <w:rPr>
          <w:sz w:val="22"/>
        </w:rPr>
        <w:t xml:space="preserve">In our understanding, sidelink positioning should be specified with a unified design to consider various use cases including automotive, commercial, IIoT, and public safety. </w:t>
      </w:r>
      <w:r>
        <w:rPr>
          <w:sz w:val="22"/>
        </w:rPr>
        <w:t>T</w:t>
      </w:r>
      <w:r w:rsidRPr="00601DA6">
        <w:rPr>
          <w:sz w:val="22"/>
        </w:rPr>
        <w:t>hese requirements include very challenging relative lateral and longitudinal positioning accuracy</w:t>
      </w:r>
      <w:r w:rsidR="00A74A95">
        <w:rPr>
          <w:sz w:val="22"/>
        </w:rPr>
        <w:t>.</w:t>
      </w:r>
      <w:r w:rsidRPr="00601DA6">
        <w:rPr>
          <w:sz w:val="22"/>
        </w:rPr>
        <w:t xml:space="preserve"> Therefore, sidelink positioning is a crucial solution for enhancing precise positioning. </w:t>
      </w:r>
    </w:p>
    <w:p w14:paraId="50A67257" w14:textId="117BDA13" w:rsidR="0016494E" w:rsidRDefault="0016494E" w:rsidP="0016494E">
      <w:pPr>
        <w:jc w:val="both"/>
        <w:rPr>
          <w:sz w:val="22"/>
          <w:lang w:eastAsia="ja-JP"/>
        </w:rPr>
      </w:pPr>
      <w:r w:rsidRPr="0016494E">
        <w:rPr>
          <w:sz w:val="22"/>
          <w:lang w:eastAsia="ja-JP"/>
        </w:rPr>
        <w:t>Figure</w:t>
      </w:r>
      <w:r>
        <w:rPr>
          <w:sz w:val="22"/>
          <w:lang w:eastAsia="ja-JP"/>
        </w:rPr>
        <w:t xml:space="preserve"> 1. depicts an exemplary scenario for sidelink positioning in an automotive setting. Please note that sidelink UEs can either </w:t>
      </w:r>
      <w:r w:rsidR="00D81A55">
        <w:rPr>
          <w:sz w:val="22"/>
          <w:lang w:eastAsia="ja-JP"/>
        </w:rPr>
        <w:t xml:space="preserve">be </w:t>
      </w:r>
      <w:r>
        <w:rPr>
          <w:sz w:val="22"/>
          <w:lang w:eastAsia="ja-JP"/>
        </w:rPr>
        <w:t>mobile users like trucks, cars, bikes, 2-wheelers, pedestrians etc.</w:t>
      </w:r>
      <w:r w:rsidR="00A568AD">
        <w:rPr>
          <w:sz w:val="22"/>
          <w:lang w:eastAsia="ja-JP"/>
        </w:rPr>
        <w:t>,</w:t>
      </w:r>
      <w:r>
        <w:rPr>
          <w:sz w:val="22"/>
          <w:lang w:eastAsia="ja-JP"/>
        </w:rPr>
        <w:t xml:space="preserve"> but also connected infrastructure like a road-side unit (RSU). In turn, different positioning methods (cf. Section 2.1) might benefit from a sidelink positioning setting involving a static anchor (e.g.</w:t>
      </w:r>
      <w:r w:rsidR="0052484C">
        <w:rPr>
          <w:sz w:val="22"/>
          <w:lang w:eastAsia="ja-JP"/>
        </w:rPr>
        <w:t>,</w:t>
      </w:r>
      <w:r>
        <w:rPr>
          <w:sz w:val="22"/>
          <w:lang w:eastAsia="ja-JP"/>
        </w:rPr>
        <w:t xml:space="preserve"> RSU) and non-static, moving UEs (</w:t>
      </w:r>
      <w:proofErr w:type="gramStart"/>
      <w:r>
        <w:rPr>
          <w:sz w:val="22"/>
          <w:lang w:eastAsia="ja-JP"/>
        </w:rPr>
        <w:t>e.g.</w:t>
      </w:r>
      <w:proofErr w:type="gramEnd"/>
      <w:r>
        <w:rPr>
          <w:sz w:val="22"/>
          <w:lang w:eastAsia="ja-JP"/>
        </w:rPr>
        <w:t xml:space="preserve"> car). </w:t>
      </w:r>
      <w:r w:rsidRPr="0016494E">
        <w:rPr>
          <w:sz w:val="22"/>
          <w:lang w:eastAsia="ja-JP"/>
        </w:rPr>
        <w:t>For V2X use cases, road-side units (RSU) equipped on fixed road infrastructure can be used as fixed anchor points that assists absolute and/or relative sidelink positioning. Given the fact that RSU can also be of gNB types, Uu positioning and Sidelink positioning co-existence is foreseeable. Therefore, it is useful to study both standalone sidelink positioning (absolute or relative (include ranging)) and combined sidelink + Uu positioning mechanisms.</w:t>
      </w:r>
    </w:p>
    <w:p w14:paraId="2DF4D7E1" w14:textId="749B8246" w:rsidR="008C24B0" w:rsidRDefault="0016494E" w:rsidP="008C24B0">
      <w:pPr>
        <w:jc w:val="both"/>
        <w:rPr>
          <w:sz w:val="22"/>
          <w:lang w:eastAsia="ja-JP"/>
        </w:rPr>
      </w:pPr>
      <w:r w:rsidRPr="0016494E">
        <w:rPr>
          <w:sz w:val="22"/>
          <w:lang w:eastAsia="ja-JP"/>
        </w:rPr>
        <w:t xml:space="preserve">In contrast, to enable </w:t>
      </w:r>
      <w:r w:rsidR="00A568AD" w:rsidRPr="0016494E">
        <w:rPr>
          <w:sz w:val="22"/>
          <w:lang w:eastAsia="ja-JP"/>
        </w:rPr>
        <w:t xml:space="preserve">VRU protection </w:t>
      </w:r>
      <w:r w:rsidR="008C24B0" w:rsidRPr="0016494E">
        <w:rPr>
          <w:sz w:val="22"/>
          <w:lang w:eastAsia="ja-JP"/>
        </w:rPr>
        <w:t>including</w:t>
      </w:r>
      <w:r w:rsidR="00A568AD">
        <w:rPr>
          <w:sz w:val="22"/>
          <w:lang w:eastAsia="ja-JP"/>
        </w:rPr>
        <w:t xml:space="preserve"> </w:t>
      </w:r>
      <w:r w:rsidR="00A568AD" w:rsidRPr="0016494E">
        <w:rPr>
          <w:sz w:val="22"/>
          <w:lang w:eastAsia="ja-JP"/>
        </w:rPr>
        <w:t xml:space="preserve">powerful </w:t>
      </w:r>
      <w:r w:rsidR="00A568AD">
        <w:rPr>
          <w:sz w:val="22"/>
          <w:lang w:eastAsia="ja-JP"/>
        </w:rPr>
        <w:t>VRU micro-mobility devices (e.g.,</w:t>
      </w:r>
      <w:r w:rsidR="008C24B0" w:rsidRPr="0016494E">
        <w:rPr>
          <w:sz w:val="22"/>
          <w:lang w:eastAsia="ja-JP"/>
        </w:rPr>
        <w:t xml:space="preserve"> eBike, 2-wheeler, etc.</w:t>
      </w:r>
      <w:r w:rsidR="00A568AD">
        <w:rPr>
          <w:sz w:val="22"/>
          <w:lang w:eastAsia="ja-JP"/>
        </w:rPr>
        <w:t>)</w:t>
      </w:r>
      <w:r w:rsidR="008C24B0" w:rsidRPr="0016494E">
        <w:rPr>
          <w:sz w:val="22"/>
          <w:lang w:eastAsia="ja-JP"/>
        </w:rPr>
        <w:t xml:space="preserve"> or pedestrian </w:t>
      </w:r>
      <w:r>
        <w:rPr>
          <w:sz w:val="22"/>
          <w:lang w:eastAsia="ja-JP"/>
        </w:rPr>
        <w:t>UE</w:t>
      </w:r>
      <w:r w:rsidR="00A568AD">
        <w:rPr>
          <w:sz w:val="22"/>
          <w:lang w:eastAsia="ja-JP"/>
        </w:rPr>
        <w:t>,</w:t>
      </w:r>
      <w:r>
        <w:rPr>
          <w:sz w:val="22"/>
          <w:lang w:eastAsia="ja-JP"/>
        </w:rPr>
        <w:t xml:space="preserve"> relative </w:t>
      </w:r>
      <w:proofErr w:type="gramStart"/>
      <w:r>
        <w:rPr>
          <w:sz w:val="22"/>
          <w:lang w:eastAsia="ja-JP"/>
        </w:rPr>
        <w:t>positioning</w:t>
      </w:r>
      <w:proofErr w:type="gramEnd"/>
      <w:r>
        <w:rPr>
          <w:sz w:val="22"/>
          <w:lang w:eastAsia="ja-JP"/>
        </w:rPr>
        <w:t xml:space="preserve"> or pure ranging between two UEs via sidelink can be beneficial. The next subsection cover</w:t>
      </w:r>
      <w:r w:rsidR="00E06D97">
        <w:rPr>
          <w:sz w:val="22"/>
          <w:lang w:eastAsia="ja-JP"/>
        </w:rPr>
        <w:t>s</w:t>
      </w:r>
      <w:r>
        <w:rPr>
          <w:sz w:val="22"/>
          <w:lang w:eastAsia="ja-JP"/>
        </w:rPr>
        <w:t xml:space="preserve"> in detail the different notions on positioning and </w:t>
      </w:r>
      <w:r w:rsidR="00A568AD">
        <w:rPr>
          <w:sz w:val="22"/>
          <w:lang w:eastAsia="ja-JP"/>
        </w:rPr>
        <w:t>the relevant</w:t>
      </w:r>
      <w:r>
        <w:rPr>
          <w:sz w:val="22"/>
          <w:lang w:eastAsia="ja-JP"/>
        </w:rPr>
        <w:t xml:space="preserve"> positioning methods.</w:t>
      </w:r>
    </w:p>
    <w:p w14:paraId="250AABE8" w14:textId="77777777" w:rsidR="008C24B0" w:rsidRPr="008C24B0" w:rsidRDefault="008C24B0" w:rsidP="008C24B0">
      <w:pPr>
        <w:jc w:val="center"/>
        <w:rPr>
          <w:b/>
          <w:bCs/>
        </w:rPr>
      </w:pPr>
      <w:r>
        <w:rPr>
          <w:noProof/>
        </w:rPr>
        <w:drawing>
          <wp:inline distT="0" distB="0" distL="0" distR="0" wp14:anchorId="12919810" wp14:editId="0E7CA153">
            <wp:extent cx="5683250" cy="2130174"/>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705329" cy="2138449"/>
                    </a:xfrm>
                    <a:prstGeom prst="rect">
                      <a:avLst/>
                    </a:prstGeom>
                    <a:noFill/>
                    <a:ln>
                      <a:noFill/>
                    </a:ln>
                    <a:extLst>
                      <a:ext uri="{53640926-AAD7-44D8-BBD7-CCE9431645EC}">
                        <a14:shadowObscured xmlns:a14="http://schemas.microsoft.com/office/drawing/2010/main"/>
                      </a:ext>
                    </a:extLst>
                  </pic:spPr>
                </pic:pic>
              </a:graphicData>
            </a:graphic>
          </wp:inline>
        </w:drawing>
      </w:r>
    </w:p>
    <w:p w14:paraId="5F5DB1A1" w14:textId="56FF81F4" w:rsidR="0016494E" w:rsidRPr="0016494E" w:rsidRDefault="008C24B0" w:rsidP="008C24B0">
      <w:pPr>
        <w:jc w:val="center"/>
        <w:rPr>
          <w:rFonts w:eastAsia="SimSun"/>
          <w:iCs/>
          <w:lang w:val="en-US" w:eastAsia="zh-CN"/>
        </w:rPr>
      </w:pPr>
      <w:r w:rsidRPr="0016494E">
        <w:rPr>
          <w:rFonts w:eastAsia="SimSun"/>
          <w:iCs/>
          <w:lang w:val="en-US" w:eastAsia="zh-CN"/>
        </w:rPr>
        <w:t xml:space="preserve">Figure 1: </w:t>
      </w:r>
      <w:r w:rsidR="0016494E" w:rsidRPr="0016494E">
        <w:rPr>
          <w:rFonts w:eastAsia="SimSun"/>
          <w:iCs/>
          <w:lang w:val="en-US" w:eastAsia="zh-CN"/>
        </w:rPr>
        <w:t>An exemplary sketch of sidelink positioning using static and non-static anchor points in an automotive context.</w:t>
      </w:r>
    </w:p>
    <w:p w14:paraId="01CFD691" w14:textId="05232345" w:rsidR="008C24B0" w:rsidRPr="008C24B0" w:rsidRDefault="008C24B0" w:rsidP="008C24B0">
      <w:pPr>
        <w:rPr>
          <w:rFonts w:eastAsia="SimSun"/>
          <w:b/>
          <w:bCs/>
          <w:iCs/>
          <w:lang w:val="en-US" w:eastAsia="zh-CN"/>
        </w:rPr>
      </w:pPr>
      <w:r w:rsidRPr="008C24B0">
        <w:rPr>
          <w:rFonts w:eastAsia="SimSun"/>
          <w:b/>
          <w:bCs/>
          <w:iCs/>
          <w:lang w:val="en-US" w:eastAsia="zh-CN"/>
        </w:rPr>
        <w:t xml:space="preserve">Objective 1: </w:t>
      </w:r>
      <w:r w:rsidR="00A20F09">
        <w:rPr>
          <w:rFonts w:eastAsia="SimSun"/>
          <w:b/>
          <w:bCs/>
          <w:iCs/>
          <w:lang w:val="en-US" w:eastAsia="zh-CN"/>
        </w:rPr>
        <w:t>Sidelink positioning</w:t>
      </w:r>
      <w:r w:rsidR="00A20F09" w:rsidRPr="008C24B0">
        <w:rPr>
          <w:rFonts w:eastAsia="SimSun"/>
          <w:b/>
          <w:bCs/>
          <w:iCs/>
          <w:lang w:val="en-US" w:eastAsia="zh-CN"/>
        </w:rPr>
        <w:t xml:space="preserve"> </w:t>
      </w:r>
      <w:r w:rsidRPr="008C24B0">
        <w:rPr>
          <w:rFonts w:eastAsia="SimSun"/>
          <w:b/>
          <w:bCs/>
          <w:iCs/>
          <w:lang w:val="en-US" w:eastAsia="zh-CN"/>
        </w:rPr>
        <w:t>will be used to conduct the positioning for different vehicular applications</w:t>
      </w:r>
    </w:p>
    <w:p w14:paraId="714443E3" w14:textId="2CAC7D87" w:rsidR="00825B0C" w:rsidRDefault="00825B0C" w:rsidP="008C24B0">
      <w:pPr>
        <w:pStyle w:val="berschrift2"/>
        <w:rPr>
          <w:lang w:eastAsia="ja-JP"/>
        </w:rPr>
      </w:pPr>
      <w:r>
        <w:rPr>
          <w:lang w:eastAsia="ja-JP"/>
        </w:rPr>
        <w:t>Requirements</w:t>
      </w:r>
      <w:r w:rsidR="005C6EA8">
        <w:rPr>
          <w:lang w:eastAsia="ja-JP"/>
        </w:rPr>
        <w:t xml:space="preserve"> </w:t>
      </w:r>
      <w:r>
        <w:rPr>
          <w:lang w:eastAsia="ja-JP"/>
        </w:rPr>
        <w:t>for V2X Use Cases</w:t>
      </w:r>
    </w:p>
    <w:p w14:paraId="54424B59" w14:textId="73A212BB" w:rsidR="001567BD" w:rsidRDefault="001567BD" w:rsidP="001567BD">
      <w:pPr>
        <w:spacing w:after="0"/>
        <w:jc w:val="both"/>
        <w:rPr>
          <w:sz w:val="22"/>
        </w:rPr>
      </w:pPr>
      <w:r>
        <w:rPr>
          <w:sz w:val="22"/>
        </w:rPr>
        <w:t>In the following working assumptions were agreed in RAN1#109e [2]:</w:t>
      </w:r>
    </w:p>
    <w:p w14:paraId="361E462F" w14:textId="2304E4F1" w:rsidR="005C6EA8" w:rsidRDefault="005C6EA8" w:rsidP="005C6EA8">
      <w:pPr>
        <w:rPr>
          <w:b/>
          <w:lang w:eastAsia="x-none"/>
        </w:rPr>
      </w:pPr>
      <w:r>
        <w:rPr>
          <w:b/>
          <w:highlight w:val="darkYellow"/>
          <w:lang w:eastAsia="x-none"/>
        </w:rPr>
        <w:t>Working assumption</w:t>
      </w:r>
    </w:p>
    <w:p w14:paraId="42775C34" w14:textId="77777777" w:rsidR="005C6EA8" w:rsidRDefault="005C6EA8" w:rsidP="005C6EA8">
      <w:pPr>
        <w:pStyle w:val="Listenabsatz"/>
        <w:snapToGrid w:val="0"/>
        <w:ind w:left="0"/>
        <w:contextualSpacing/>
        <w:jc w:val="both"/>
        <w:rPr>
          <w:iCs/>
          <w:lang w:eastAsia="x-none"/>
        </w:rPr>
      </w:pPr>
      <w:r>
        <w:rPr>
          <w:iCs/>
        </w:rPr>
        <w:t xml:space="preserve">For evaluation of V2X use-cases for SL positioning, the </w:t>
      </w:r>
      <w:bookmarkStart w:id="4" w:name="_Hlk110592195"/>
      <w:r>
        <w:rPr>
          <w:iCs/>
        </w:rPr>
        <w:t>following accuracy requirements are considered</w:t>
      </w:r>
      <w:bookmarkEnd w:id="4"/>
      <w:r>
        <w:rPr>
          <w:iCs/>
        </w:rPr>
        <w:t>:</w:t>
      </w:r>
    </w:p>
    <w:p w14:paraId="78191CA4" w14:textId="77777777" w:rsidR="005C6EA8" w:rsidRDefault="005C6EA8" w:rsidP="005C6EA8">
      <w:pPr>
        <w:numPr>
          <w:ilvl w:val="0"/>
          <w:numId w:val="41"/>
        </w:numPr>
        <w:spacing w:after="0"/>
      </w:pPr>
      <w:r>
        <w:rPr>
          <w:iCs/>
        </w:rPr>
        <w:lastRenderedPageBreak/>
        <w:t>Set A (</w:t>
      </w:r>
      <w:proofErr w:type="gramStart"/>
      <w:r>
        <w:rPr>
          <w:iCs/>
        </w:rPr>
        <w:t>similar to</w:t>
      </w:r>
      <w:proofErr w:type="gramEnd"/>
      <w:r>
        <w:rPr>
          <w:iCs/>
        </w:rPr>
        <w:t xml:space="preserve"> “Set 2” defined in TR 38.845)</w:t>
      </w:r>
    </w:p>
    <w:p w14:paraId="766CB30A" w14:textId="77777777" w:rsidR="005C6EA8" w:rsidRDefault="005C6EA8" w:rsidP="005C6EA8">
      <w:pPr>
        <w:numPr>
          <w:ilvl w:val="1"/>
          <w:numId w:val="41"/>
        </w:numPr>
        <w:spacing w:after="0"/>
        <w:rPr>
          <w:iCs/>
        </w:rPr>
      </w:pPr>
      <w:r>
        <w:rPr>
          <w:iCs/>
        </w:rPr>
        <w:t>Horizontal accuracy of 1.5 m (absolute and relative); Vertical accuracy of 3 m (absolute and relative) for 90% of UEs</w:t>
      </w:r>
    </w:p>
    <w:p w14:paraId="431D8363" w14:textId="77777777" w:rsidR="005C6EA8" w:rsidRDefault="005C6EA8" w:rsidP="005C6EA8">
      <w:pPr>
        <w:numPr>
          <w:ilvl w:val="0"/>
          <w:numId w:val="41"/>
        </w:numPr>
        <w:spacing w:after="0"/>
      </w:pPr>
      <w:r>
        <w:rPr>
          <w:bCs/>
          <w:iCs/>
        </w:rPr>
        <w:t>Set B (</w:t>
      </w:r>
      <w:proofErr w:type="gramStart"/>
      <w:r>
        <w:rPr>
          <w:bCs/>
          <w:iCs/>
        </w:rPr>
        <w:t>s</w:t>
      </w:r>
      <w:r>
        <w:rPr>
          <w:iCs/>
        </w:rPr>
        <w:t>imilar to</w:t>
      </w:r>
      <w:proofErr w:type="gramEnd"/>
      <w:r>
        <w:rPr>
          <w:iCs/>
        </w:rPr>
        <w:t xml:space="preserve"> “Set 3” defined in TR 38.845)</w:t>
      </w:r>
    </w:p>
    <w:p w14:paraId="5E465770" w14:textId="77777777" w:rsidR="005C6EA8" w:rsidRDefault="005C6EA8" w:rsidP="005C6EA8">
      <w:pPr>
        <w:numPr>
          <w:ilvl w:val="1"/>
          <w:numId w:val="41"/>
        </w:numPr>
        <w:spacing w:after="0"/>
        <w:rPr>
          <w:iCs/>
        </w:rPr>
      </w:pPr>
      <w:r>
        <w:rPr>
          <w:iCs/>
        </w:rPr>
        <w:t>Horizontal accuracy of 0.5 m (absolute and relative); Vertical accuracy of 2 m (absolute and relative) for 90% of UEs</w:t>
      </w:r>
    </w:p>
    <w:p w14:paraId="4B9541CC" w14:textId="77777777" w:rsidR="005C6EA8" w:rsidRDefault="005C6EA8" w:rsidP="005C6EA8">
      <w:pPr>
        <w:numPr>
          <w:ilvl w:val="0"/>
          <w:numId w:val="41"/>
        </w:numPr>
        <w:spacing w:after="0"/>
        <w:rPr>
          <w:iCs/>
        </w:rPr>
      </w:pPr>
      <w:r>
        <w:rPr>
          <w:iCs/>
        </w:rPr>
        <w:t xml:space="preserve">Note 1: For evaluated SL positioning methods, companies are expected to report: </w:t>
      </w:r>
    </w:p>
    <w:p w14:paraId="380A0E58" w14:textId="77777777" w:rsidR="005C6EA8" w:rsidRDefault="005C6EA8" w:rsidP="005C6EA8">
      <w:pPr>
        <w:numPr>
          <w:ilvl w:val="1"/>
          <w:numId w:val="41"/>
        </w:numPr>
        <w:spacing w:after="0"/>
        <w:rPr>
          <w:iCs/>
        </w:rPr>
      </w:pPr>
      <w:r>
        <w:rPr>
          <w:iCs/>
        </w:rPr>
        <w:t xml:space="preserve">(1) whether each of the two requirements are satisfied, and </w:t>
      </w:r>
    </w:p>
    <w:p w14:paraId="74D51AA3" w14:textId="77777777" w:rsidR="005C6EA8" w:rsidRDefault="005C6EA8" w:rsidP="005C6EA8">
      <w:pPr>
        <w:numPr>
          <w:ilvl w:val="1"/>
          <w:numId w:val="41"/>
        </w:numPr>
        <w:spacing w:after="0"/>
        <w:rPr>
          <w:iCs/>
        </w:rPr>
      </w:pPr>
      <w:r>
        <w:rPr>
          <w:iCs/>
        </w:rPr>
        <w:t>(2) %-ile of UEs satisfying the target positioning accuracy for a requirement that may not be satisfied with 90%.</w:t>
      </w:r>
    </w:p>
    <w:p w14:paraId="2E6BC2CC" w14:textId="77777777" w:rsidR="005C6EA8" w:rsidRDefault="005C6EA8" w:rsidP="005C6EA8">
      <w:pPr>
        <w:numPr>
          <w:ilvl w:val="0"/>
          <w:numId w:val="41"/>
        </w:numPr>
        <w:spacing w:after="0"/>
        <w:rPr>
          <w:iCs/>
        </w:rPr>
      </w:pPr>
      <w:r>
        <w:rPr>
          <w:iCs/>
        </w:rPr>
        <w:t>Note 2: target positioning requirements may not necessarily be reached for all scenarios and deployments</w:t>
      </w:r>
    </w:p>
    <w:p w14:paraId="130F602D" w14:textId="341F8879" w:rsidR="005C6EA8" w:rsidRDefault="005C6EA8" w:rsidP="00825B0C">
      <w:pPr>
        <w:rPr>
          <w:bCs/>
        </w:rPr>
      </w:pPr>
      <w:r>
        <w:rPr>
          <w:iCs/>
        </w:rPr>
        <w:t>Note 3: all positioning techniques may not achieve all positioning requirements in all scenarios</w:t>
      </w:r>
    </w:p>
    <w:p w14:paraId="3F2D7F34" w14:textId="35B36C23" w:rsidR="005C6EA8" w:rsidRDefault="005C6EA8" w:rsidP="005C6EA8">
      <w:pPr>
        <w:spacing w:after="0"/>
        <w:rPr>
          <w:b/>
          <w:bCs/>
          <w:sz w:val="24"/>
          <w:szCs w:val="24"/>
          <w:lang w:eastAsia="x-none"/>
        </w:rPr>
      </w:pPr>
      <w:r w:rsidRPr="005C6EA8">
        <w:rPr>
          <w:b/>
          <w:bCs/>
          <w:sz w:val="24"/>
          <w:szCs w:val="24"/>
          <w:lang w:eastAsia="x-none"/>
        </w:rPr>
        <w:t xml:space="preserve">Observation 1: </w:t>
      </w:r>
      <w:r>
        <w:rPr>
          <w:b/>
          <w:bCs/>
          <w:sz w:val="24"/>
          <w:szCs w:val="24"/>
          <w:lang w:eastAsia="x-none"/>
        </w:rPr>
        <w:t>Set B is of integral relevance to enable autonomous driving use cases and protection of vulnerable road user (VRU).</w:t>
      </w:r>
    </w:p>
    <w:p w14:paraId="3F485AEC" w14:textId="55D4F244" w:rsidR="005D1557" w:rsidRDefault="005D1557" w:rsidP="005C6EA8">
      <w:pPr>
        <w:spacing w:after="0"/>
        <w:rPr>
          <w:b/>
          <w:bCs/>
          <w:sz w:val="24"/>
          <w:szCs w:val="24"/>
          <w:lang w:eastAsia="x-none"/>
        </w:rPr>
      </w:pPr>
    </w:p>
    <w:p w14:paraId="655EEF12" w14:textId="40ACC0A2" w:rsidR="005D1557" w:rsidRPr="005C6EA8" w:rsidRDefault="005D1557" w:rsidP="005C6EA8">
      <w:pPr>
        <w:spacing w:after="0"/>
        <w:rPr>
          <w:b/>
          <w:bCs/>
          <w:sz w:val="24"/>
          <w:szCs w:val="24"/>
          <w:lang w:eastAsia="x-none"/>
        </w:rPr>
      </w:pPr>
      <w:r>
        <w:rPr>
          <w:b/>
          <w:bCs/>
          <w:sz w:val="24"/>
          <w:szCs w:val="24"/>
          <w:lang w:eastAsia="x-none"/>
        </w:rPr>
        <w:t>Proposal 1: Confirm the working assumption on</w:t>
      </w:r>
      <w:r w:rsidRPr="005D1557">
        <w:rPr>
          <w:b/>
          <w:bCs/>
          <w:sz w:val="24"/>
          <w:szCs w:val="24"/>
          <w:lang w:eastAsia="x-none"/>
        </w:rPr>
        <w:t xml:space="preserve"> SL positioning accuracy requirements </w:t>
      </w:r>
      <w:r>
        <w:rPr>
          <w:b/>
          <w:bCs/>
          <w:sz w:val="24"/>
          <w:szCs w:val="24"/>
          <w:lang w:eastAsia="x-none"/>
        </w:rPr>
        <w:t xml:space="preserve">for evaluation </w:t>
      </w:r>
      <w:r w:rsidRPr="005D1557">
        <w:rPr>
          <w:b/>
          <w:bCs/>
          <w:sz w:val="24"/>
          <w:szCs w:val="24"/>
          <w:lang w:eastAsia="x-none"/>
        </w:rPr>
        <w:t>consider</w:t>
      </w:r>
      <w:r>
        <w:rPr>
          <w:b/>
          <w:bCs/>
          <w:sz w:val="24"/>
          <w:szCs w:val="24"/>
          <w:lang w:eastAsia="x-none"/>
        </w:rPr>
        <w:t>ing at least set B</w:t>
      </w:r>
    </w:p>
    <w:p w14:paraId="16D3E9B3" w14:textId="3D976D74" w:rsidR="005C6EA8" w:rsidRPr="005C6EA8" w:rsidRDefault="005C6EA8" w:rsidP="005C6EA8">
      <w:pPr>
        <w:pStyle w:val="berschrift2"/>
      </w:pPr>
      <w:r w:rsidRPr="005C6EA8">
        <w:t xml:space="preserve">Spectrum </w:t>
      </w:r>
      <w:r>
        <w:t>C</w:t>
      </w:r>
      <w:r w:rsidRPr="005C6EA8">
        <w:t>onsiderations</w:t>
      </w:r>
      <w:r>
        <w:t xml:space="preserve"> for SL Positioning </w:t>
      </w:r>
      <w:r w:rsidR="009A27AD">
        <w:t xml:space="preserve">for </w:t>
      </w:r>
      <w:r>
        <w:t>V2X Use Cases</w:t>
      </w:r>
    </w:p>
    <w:p w14:paraId="06FA8E46" w14:textId="1EE628B7" w:rsidR="005C6EA8" w:rsidRDefault="005C6EA8" w:rsidP="005C6EA8">
      <w:pPr>
        <w:rPr>
          <w:b/>
          <w:highlight w:val="green"/>
          <w:lang w:eastAsia="x-none"/>
        </w:rPr>
      </w:pPr>
      <w:r>
        <w:rPr>
          <w:b/>
          <w:highlight w:val="green"/>
          <w:lang w:eastAsia="x-none"/>
        </w:rPr>
        <w:t>Agreement</w:t>
      </w:r>
    </w:p>
    <w:p w14:paraId="5530CC26" w14:textId="74A787A5" w:rsidR="005C6EA8" w:rsidRDefault="005C6EA8" w:rsidP="005C6EA8">
      <w:pPr>
        <w:rPr>
          <w:lang w:eastAsia="x-none"/>
        </w:rPr>
      </w:pPr>
      <w:r>
        <w:rPr>
          <w:lang w:eastAsia="x-none"/>
        </w:rPr>
        <w:t>For evaluations for SL positioning:</w:t>
      </w:r>
    </w:p>
    <w:p w14:paraId="4C14BAE6" w14:textId="1096EE31" w:rsidR="005C6EA8" w:rsidRDefault="005C6EA8" w:rsidP="005C6EA8">
      <w:pPr>
        <w:numPr>
          <w:ilvl w:val="0"/>
          <w:numId w:val="41"/>
        </w:numPr>
        <w:spacing w:after="0"/>
        <w:rPr>
          <w:lang w:eastAsia="x-none"/>
        </w:rPr>
      </w:pPr>
      <w:r>
        <w:rPr>
          <w:lang w:eastAsia="x-none"/>
        </w:rPr>
        <w:t>Operation in FR1 with channel bandwidths of up to 100 MHz are considered.</w:t>
      </w:r>
    </w:p>
    <w:p w14:paraId="28F3D45C" w14:textId="754EDC18" w:rsidR="00B85850" w:rsidRDefault="005C6EA8" w:rsidP="00B85850">
      <w:pPr>
        <w:spacing w:after="0"/>
        <w:ind w:left="840"/>
        <w:rPr>
          <w:lang w:eastAsia="x-none"/>
        </w:rPr>
      </w:pPr>
      <w:r>
        <w:rPr>
          <w:lang w:eastAsia="x-none"/>
        </w:rPr>
        <w:t>Optional: Operation in FR2 with channel bandwidths of up to 400 MHz are considered.</w:t>
      </w:r>
    </w:p>
    <w:p w14:paraId="7D45ACDF" w14:textId="59528498" w:rsidR="00B85850" w:rsidRPr="00535706" w:rsidRDefault="00B85850" w:rsidP="00B85850">
      <w:pPr>
        <w:rPr>
          <w:rFonts w:eastAsia="SimSun" w:cs="Times"/>
          <w:b/>
          <w:bCs/>
          <w:lang w:val="en-US" w:eastAsia="ko-KR"/>
        </w:rPr>
      </w:pPr>
      <w:r w:rsidRPr="00535706">
        <w:rPr>
          <w:rFonts w:cs="Times"/>
          <w:b/>
          <w:bCs/>
          <w:highlight w:val="green"/>
        </w:rPr>
        <w:t>Agreement</w:t>
      </w:r>
    </w:p>
    <w:p w14:paraId="7505E018" w14:textId="4767BA37" w:rsidR="00B85850" w:rsidRDefault="00B85850" w:rsidP="00B85850">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w:t>
      </w:r>
      <w:r w:rsidRPr="00A34F95">
        <w:rPr>
          <w:kern w:val="2"/>
          <w:sz w:val="20"/>
          <w:szCs w:val="20"/>
        </w:rPr>
        <w:t>10,</w:t>
      </w:r>
      <w:r>
        <w:rPr>
          <w:kern w:val="2"/>
          <w:sz w:val="20"/>
          <w:szCs w:val="20"/>
        </w:rPr>
        <w:t xml:space="preserve"> 20, 40 and 100 MHz in FR1 can be used.</w:t>
      </w:r>
      <w:r>
        <w:rPr>
          <w:sz w:val="20"/>
          <w:szCs w:val="20"/>
        </w:rPr>
        <w:t xml:space="preserve"> </w:t>
      </w:r>
    </w:p>
    <w:p w14:paraId="7D72E6EF" w14:textId="1CB1F639" w:rsidR="00B85850" w:rsidRDefault="00B85850" w:rsidP="00B85850">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100, 200 and 400MHz in FR2 can be used.</w:t>
      </w:r>
    </w:p>
    <w:p w14:paraId="72BF746C" w14:textId="398FB28E" w:rsidR="009C5D5D" w:rsidRPr="00B85850" w:rsidRDefault="009C5D5D" w:rsidP="005C6EA8">
      <w:pPr>
        <w:rPr>
          <w:bCs/>
          <w:sz w:val="22"/>
          <w:szCs w:val="22"/>
          <w:lang w:val="en-US"/>
        </w:rPr>
      </w:pPr>
    </w:p>
    <w:p w14:paraId="231E431B" w14:textId="23204CD7" w:rsidR="005C6EA8" w:rsidRDefault="005C6EA8" w:rsidP="005C6EA8">
      <w:pPr>
        <w:pStyle w:val="berschrift3"/>
      </w:pPr>
      <w:r>
        <w:t>Regional ITS Band Considerations</w:t>
      </w:r>
    </w:p>
    <w:p w14:paraId="0A360E15" w14:textId="04E97782" w:rsidR="00734166" w:rsidRDefault="00734166" w:rsidP="005C6EA8">
      <w:pPr>
        <w:rPr>
          <w:sz w:val="22"/>
          <w:szCs w:val="22"/>
        </w:rPr>
      </w:pPr>
      <w:r>
        <w:rPr>
          <w:sz w:val="22"/>
          <w:szCs w:val="22"/>
        </w:rPr>
        <w:t>In the following section, we provide a summary of the current ITS regulation in Europe, the US and China.</w:t>
      </w:r>
    </w:p>
    <w:p w14:paraId="6D9EC491" w14:textId="41EDAF0C" w:rsidR="00734166" w:rsidRPr="009A27AD" w:rsidRDefault="00734166" w:rsidP="005C6EA8">
      <w:pPr>
        <w:rPr>
          <w:rFonts w:ascii="Arial" w:hAnsi="Arial" w:cs="Arial"/>
          <w:b/>
          <w:bCs/>
          <w:sz w:val="22"/>
          <w:szCs w:val="22"/>
        </w:rPr>
      </w:pPr>
      <w:r w:rsidRPr="009A27AD">
        <w:rPr>
          <w:rFonts w:ascii="Arial" w:hAnsi="Arial" w:cs="Arial"/>
          <w:b/>
          <w:bCs/>
          <w:sz w:val="22"/>
          <w:szCs w:val="22"/>
        </w:rPr>
        <w:t>Europe</w:t>
      </w:r>
    </w:p>
    <w:p w14:paraId="60391878" w14:textId="2ED21FB3" w:rsidR="00734166" w:rsidRDefault="00734166" w:rsidP="00734166">
      <w:pPr>
        <w:rPr>
          <w:sz w:val="22"/>
          <w:szCs w:val="22"/>
        </w:rPr>
      </w:pPr>
      <w:r>
        <w:rPr>
          <w:sz w:val="22"/>
          <w:szCs w:val="22"/>
        </w:rPr>
        <w:t xml:space="preserve">In Europe, the </w:t>
      </w:r>
      <w:r w:rsidRPr="00734166">
        <w:rPr>
          <w:sz w:val="22"/>
          <w:szCs w:val="22"/>
        </w:rPr>
        <w:t>ECC Recommendation</w:t>
      </w:r>
      <w:r>
        <w:rPr>
          <w:sz w:val="22"/>
          <w:szCs w:val="22"/>
        </w:rPr>
        <w:t xml:space="preserve"> </w:t>
      </w:r>
      <w:r w:rsidRPr="00734166">
        <w:rPr>
          <w:sz w:val="22"/>
          <w:szCs w:val="22"/>
        </w:rPr>
        <w:t>(08)01 [</w:t>
      </w:r>
      <w:r w:rsidR="009C5D5D">
        <w:rPr>
          <w:sz w:val="22"/>
          <w:szCs w:val="22"/>
        </w:rPr>
        <w:t>3</w:t>
      </w:r>
      <w:r w:rsidRPr="00734166">
        <w:rPr>
          <w:sz w:val="22"/>
          <w:szCs w:val="22"/>
        </w:rPr>
        <w:t>] and ECC Decision (08)0</w:t>
      </w:r>
      <w:r>
        <w:rPr>
          <w:sz w:val="22"/>
          <w:szCs w:val="22"/>
        </w:rPr>
        <w:t>1 [</w:t>
      </w:r>
      <w:r w:rsidR="009C5D5D">
        <w:rPr>
          <w:sz w:val="22"/>
          <w:szCs w:val="22"/>
        </w:rPr>
        <w:t>4</w:t>
      </w:r>
      <w:r>
        <w:rPr>
          <w:sz w:val="22"/>
          <w:szCs w:val="22"/>
        </w:rPr>
        <w:t>]</w:t>
      </w:r>
      <w:r w:rsidR="009C5D5D">
        <w:rPr>
          <w:sz w:val="22"/>
          <w:szCs w:val="22"/>
        </w:rPr>
        <w:t xml:space="preserve"> specifies the spectrum regulations for the frequency range 5855-</w:t>
      </w:r>
      <w:r w:rsidR="001567BD">
        <w:rPr>
          <w:sz w:val="22"/>
          <w:szCs w:val="22"/>
        </w:rPr>
        <w:t xml:space="preserve">5935 </w:t>
      </w:r>
      <w:r w:rsidR="009C5D5D">
        <w:rPr>
          <w:sz w:val="22"/>
          <w:szCs w:val="22"/>
        </w:rPr>
        <w:t xml:space="preserve">MHz. </w:t>
      </w:r>
      <w:r w:rsidR="00A74A95">
        <w:rPr>
          <w:sz w:val="22"/>
          <w:szCs w:val="22"/>
        </w:rPr>
        <w:t>This ranged is split as</w:t>
      </w:r>
      <w:r w:rsidR="009C5D5D">
        <w:rPr>
          <w:sz w:val="22"/>
          <w:szCs w:val="22"/>
        </w:rPr>
        <w:t xml:space="preserve"> summarize in [</w:t>
      </w:r>
      <w:r w:rsidR="00DE5227">
        <w:rPr>
          <w:sz w:val="22"/>
          <w:szCs w:val="22"/>
        </w:rPr>
        <w:t>6</w:t>
      </w:r>
      <w:r w:rsidR="009C5D5D">
        <w:rPr>
          <w:sz w:val="22"/>
          <w:szCs w:val="22"/>
        </w:rPr>
        <w:t>]:</w:t>
      </w:r>
    </w:p>
    <w:p w14:paraId="57F4FE77" w14:textId="50AB48DE" w:rsidR="009C5D5D" w:rsidRPr="009C5D5D" w:rsidRDefault="009C5D5D" w:rsidP="009C5D5D">
      <w:pPr>
        <w:pStyle w:val="Listenabsatz"/>
        <w:numPr>
          <w:ilvl w:val="0"/>
          <w:numId w:val="43"/>
        </w:numPr>
        <w:rPr>
          <w:rFonts w:ascii="Times New Roman" w:hAnsi="Times New Roman" w:cs="Times New Roman"/>
        </w:rPr>
      </w:pPr>
      <w:r w:rsidRPr="009C5D5D">
        <w:rPr>
          <w:rFonts w:ascii="Times New Roman" w:hAnsi="Times New Roman" w:cs="Times New Roman"/>
        </w:rPr>
        <w:t>5855-5875 MHz is designated for non-safety road-ITS</w:t>
      </w:r>
    </w:p>
    <w:p w14:paraId="5540035C" w14:textId="77777777" w:rsidR="009C5D5D" w:rsidRPr="009C5D5D" w:rsidRDefault="009C5D5D" w:rsidP="009C5D5D">
      <w:pPr>
        <w:pStyle w:val="Listenabsatz"/>
        <w:numPr>
          <w:ilvl w:val="0"/>
          <w:numId w:val="43"/>
        </w:numPr>
        <w:rPr>
          <w:rFonts w:ascii="Times New Roman" w:hAnsi="Times New Roman" w:cs="Times New Roman"/>
        </w:rPr>
      </w:pPr>
      <w:r w:rsidRPr="009C5D5D">
        <w:rPr>
          <w:rFonts w:ascii="Times New Roman" w:hAnsi="Times New Roman" w:cs="Times New Roman"/>
        </w:rPr>
        <w:t>5875-5935 MHz is designated for safety related ITS.</w:t>
      </w:r>
    </w:p>
    <w:p w14:paraId="76D3A565" w14:textId="2B590BEA" w:rsidR="009C5D5D" w:rsidRPr="009C5D5D" w:rsidRDefault="009C5D5D" w:rsidP="009C5D5D">
      <w:pPr>
        <w:pStyle w:val="Listenabsatz"/>
        <w:numPr>
          <w:ilvl w:val="0"/>
          <w:numId w:val="43"/>
        </w:numPr>
        <w:rPr>
          <w:rFonts w:ascii="Times New Roman" w:hAnsi="Times New Roman" w:cs="Times New Roman"/>
        </w:rPr>
      </w:pPr>
      <w:r w:rsidRPr="009C5D5D">
        <w:rPr>
          <w:rFonts w:ascii="Times New Roman" w:hAnsi="Times New Roman" w:cs="Times New Roman"/>
        </w:rPr>
        <w:t>5875-5915 MHz and 5915-5925 MHz are prioriti</w:t>
      </w:r>
      <w:r w:rsidR="009A27AD">
        <w:rPr>
          <w:rFonts w:ascii="Times New Roman" w:hAnsi="Times New Roman" w:cs="Times New Roman"/>
        </w:rPr>
        <w:t>z</w:t>
      </w:r>
      <w:r w:rsidRPr="009C5D5D">
        <w:rPr>
          <w:rFonts w:ascii="Times New Roman" w:hAnsi="Times New Roman" w:cs="Times New Roman"/>
        </w:rPr>
        <w:t>ed for road-ITS and rail-ITS applications, respectively</w:t>
      </w:r>
    </w:p>
    <w:p w14:paraId="519CBBE0" w14:textId="6E3C1CE5" w:rsidR="009C5D5D" w:rsidRPr="009C5D5D" w:rsidRDefault="009C5D5D" w:rsidP="009C5D5D">
      <w:pPr>
        <w:pStyle w:val="Listenabsatz"/>
        <w:numPr>
          <w:ilvl w:val="0"/>
          <w:numId w:val="43"/>
        </w:numPr>
        <w:rPr>
          <w:rFonts w:ascii="Times New Roman" w:hAnsi="Times New Roman" w:cs="Times New Roman"/>
        </w:rPr>
      </w:pPr>
      <w:r w:rsidRPr="009C5D5D">
        <w:rPr>
          <w:rFonts w:ascii="Times New Roman" w:hAnsi="Times New Roman" w:cs="Times New Roman"/>
        </w:rPr>
        <w:t>5925-5935 MHz available only for rail-ITS.</w:t>
      </w:r>
    </w:p>
    <w:p w14:paraId="24412F96" w14:textId="132D6379" w:rsidR="00734166" w:rsidRDefault="00734166" w:rsidP="00734166">
      <w:pPr>
        <w:rPr>
          <w:sz w:val="22"/>
          <w:szCs w:val="22"/>
          <w:lang w:val="en-US"/>
        </w:rPr>
      </w:pPr>
    </w:p>
    <w:p w14:paraId="4F4DCA2F" w14:textId="0C59767E" w:rsidR="009C5D5D" w:rsidRDefault="009C5D5D" w:rsidP="00734166">
      <w:pPr>
        <w:rPr>
          <w:sz w:val="22"/>
          <w:szCs w:val="22"/>
        </w:rPr>
      </w:pPr>
      <w:r>
        <w:rPr>
          <w:sz w:val="22"/>
          <w:szCs w:val="22"/>
          <w:lang w:val="en-US"/>
        </w:rPr>
        <w:t xml:space="preserve">In turn, Europe prioritizes </w:t>
      </w:r>
      <w:r w:rsidRPr="009C5D5D">
        <w:rPr>
          <w:sz w:val="22"/>
          <w:szCs w:val="22"/>
          <w:lang w:val="en-US"/>
        </w:rPr>
        <w:t>5875-5915 MHz</w:t>
      </w:r>
      <w:r>
        <w:rPr>
          <w:sz w:val="22"/>
          <w:szCs w:val="22"/>
          <w:lang w:val="en-US"/>
        </w:rPr>
        <w:t xml:space="preserve">, i.e., 40 MHz bandwidth. Nevertheless, </w:t>
      </w:r>
      <w:r w:rsidR="00DE5227">
        <w:rPr>
          <w:sz w:val="22"/>
          <w:szCs w:val="22"/>
          <w:lang w:val="en-US"/>
        </w:rPr>
        <w:t xml:space="preserve">the </w:t>
      </w:r>
      <w:r w:rsidRPr="00734166">
        <w:rPr>
          <w:sz w:val="22"/>
          <w:szCs w:val="22"/>
        </w:rPr>
        <w:t>ECC Decision (08)0</w:t>
      </w:r>
      <w:r>
        <w:rPr>
          <w:sz w:val="22"/>
          <w:szCs w:val="22"/>
        </w:rPr>
        <w:t xml:space="preserve">1 [4] also states that: </w:t>
      </w:r>
    </w:p>
    <w:p w14:paraId="77989C76" w14:textId="1DB1A9AE" w:rsidR="009C5D5D" w:rsidRPr="009C5D5D" w:rsidRDefault="009C5D5D" w:rsidP="00734166">
      <w:pPr>
        <w:rPr>
          <w:i/>
          <w:iCs/>
          <w:sz w:val="22"/>
          <w:szCs w:val="22"/>
          <w:lang w:val="en-US"/>
        </w:rPr>
      </w:pPr>
      <w:r w:rsidRPr="009C5D5D">
        <w:rPr>
          <w:i/>
          <w:iCs/>
          <w:sz w:val="22"/>
          <w:szCs w:val="22"/>
        </w:rPr>
        <w:t xml:space="preserve">“In 5875-5925 MHz, Road ITS applications shall use channels within the boundaries of each 10 MHz block. Channel bandwidth </w:t>
      </w:r>
      <w:r w:rsidRPr="00E33C6D">
        <w:rPr>
          <w:i/>
          <w:iCs/>
          <w:sz w:val="22"/>
          <w:szCs w:val="22"/>
        </w:rPr>
        <w:t>may be lower than 10 MHz.”</w:t>
      </w:r>
    </w:p>
    <w:p w14:paraId="155EEF5E" w14:textId="2E5EC4DB" w:rsidR="009C5D5D" w:rsidRDefault="009C5D5D" w:rsidP="009C5D5D">
      <w:pPr>
        <w:spacing w:after="0"/>
        <w:rPr>
          <w:b/>
          <w:bCs/>
          <w:sz w:val="24"/>
          <w:szCs w:val="24"/>
          <w:lang w:eastAsia="x-none"/>
        </w:rPr>
      </w:pPr>
      <w:r w:rsidRPr="005C6EA8">
        <w:rPr>
          <w:b/>
          <w:bCs/>
          <w:sz w:val="24"/>
          <w:szCs w:val="24"/>
          <w:lang w:eastAsia="x-none"/>
        </w:rPr>
        <w:t xml:space="preserve">Observation </w:t>
      </w:r>
      <w:r>
        <w:rPr>
          <w:b/>
          <w:bCs/>
          <w:sz w:val="24"/>
          <w:szCs w:val="24"/>
          <w:lang w:eastAsia="x-none"/>
        </w:rPr>
        <w:t>2</w:t>
      </w:r>
      <w:r w:rsidRPr="005C6EA8">
        <w:rPr>
          <w:b/>
          <w:bCs/>
          <w:sz w:val="24"/>
          <w:szCs w:val="24"/>
          <w:lang w:eastAsia="x-none"/>
        </w:rPr>
        <w:t xml:space="preserve">: </w:t>
      </w:r>
      <w:r>
        <w:rPr>
          <w:b/>
          <w:bCs/>
          <w:sz w:val="24"/>
          <w:szCs w:val="24"/>
          <w:lang w:eastAsia="x-none"/>
        </w:rPr>
        <w:t xml:space="preserve">The ITS spectrum in Europe </w:t>
      </w:r>
      <w:r w:rsidR="007432D4">
        <w:rPr>
          <w:b/>
          <w:bCs/>
          <w:sz w:val="24"/>
          <w:szCs w:val="24"/>
          <w:lang w:eastAsia="x-none"/>
        </w:rPr>
        <w:t>has</w:t>
      </w:r>
      <w:r>
        <w:rPr>
          <w:b/>
          <w:bCs/>
          <w:sz w:val="24"/>
          <w:szCs w:val="24"/>
          <w:lang w:eastAsia="x-none"/>
        </w:rPr>
        <w:t xml:space="preserve"> a bandwidth of 40 MHz for safety related ITS</w:t>
      </w:r>
      <w:r w:rsidR="00CB7E0C">
        <w:rPr>
          <w:b/>
          <w:bCs/>
          <w:sz w:val="24"/>
          <w:szCs w:val="24"/>
          <w:lang w:eastAsia="x-none"/>
        </w:rPr>
        <w:t xml:space="preserve"> </w:t>
      </w:r>
      <w:r w:rsidR="00241418">
        <w:rPr>
          <w:b/>
          <w:bCs/>
          <w:sz w:val="24"/>
          <w:szCs w:val="24"/>
          <w:lang w:eastAsia="x-none"/>
        </w:rPr>
        <w:t>services</w:t>
      </w:r>
      <w:r w:rsidR="00241418" w:rsidRPr="00E33C6D">
        <w:rPr>
          <w:b/>
          <w:bCs/>
          <w:sz w:val="24"/>
          <w:szCs w:val="24"/>
          <w:lang w:eastAsia="x-none"/>
        </w:rPr>
        <w:t xml:space="preserve">, </w:t>
      </w:r>
      <w:r w:rsidR="00CB7E0C" w:rsidRPr="00E33C6D">
        <w:rPr>
          <w:b/>
          <w:bCs/>
          <w:sz w:val="24"/>
          <w:szCs w:val="24"/>
          <w:lang w:eastAsia="x-none"/>
        </w:rPr>
        <w:t>prioritiz</w:t>
      </w:r>
      <w:r w:rsidR="00241418" w:rsidRPr="00E33C6D">
        <w:rPr>
          <w:b/>
          <w:bCs/>
          <w:sz w:val="24"/>
          <w:szCs w:val="24"/>
          <w:lang w:eastAsia="x-none"/>
        </w:rPr>
        <w:t>ing</w:t>
      </w:r>
      <w:r w:rsidR="00CB7E0C" w:rsidRPr="00E33C6D">
        <w:rPr>
          <w:b/>
          <w:bCs/>
          <w:sz w:val="24"/>
          <w:szCs w:val="24"/>
          <w:lang w:eastAsia="x-none"/>
        </w:rPr>
        <w:t xml:space="preserve"> road-ITS</w:t>
      </w:r>
      <w:r>
        <w:rPr>
          <w:b/>
          <w:bCs/>
          <w:sz w:val="24"/>
          <w:szCs w:val="24"/>
          <w:lang w:eastAsia="x-none"/>
        </w:rPr>
        <w:t xml:space="preserve"> but the channel bandwidth is restricted to 10 MHz.</w:t>
      </w:r>
    </w:p>
    <w:p w14:paraId="677A6BC3" w14:textId="53EA47A7" w:rsidR="009C5D5D" w:rsidRDefault="009C5D5D" w:rsidP="00734166">
      <w:pPr>
        <w:rPr>
          <w:sz w:val="22"/>
          <w:szCs w:val="22"/>
        </w:rPr>
      </w:pPr>
    </w:p>
    <w:p w14:paraId="69A4CA37" w14:textId="2E755E08" w:rsidR="009C5D5D" w:rsidRPr="009A27AD" w:rsidRDefault="009C5D5D" w:rsidP="009C5D5D">
      <w:pPr>
        <w:rPr>
          <w:rFonts w:ascii="Arial" w:hAnsi="Arial" w:cs="Arial"/>
          <w:b/>
          <w:bCs/>
          <w:sz w:val="22"/>
          <w:szCs w:val="22"/>
        </w:rPr>
      </w:pPr>
      <w:r w:rsidRPr="009A27AD">
        <w:rPr>
          <w:rFonts w:ascii="Arial" w:hAnsi="Arial" w:cs="Arial"/>
          <w:b/>
          <w:bCs/>
          <w:sz w:val="22"/>
          <w:szCs w:val="22"/>
        </w:rPr>
        <w:t xml:space="preserve">Unites States </w:t>
      </w:r>
    </w:p>
    <w:p w14:paraId="15FD5198" w14:textId="117D3A01" w:rsidR="009C5D5D" w:rsidRDefault="009C5D5D" w:rsidP="009C5D5D">
      <w:pPr>
        <w:rPr>
          <w:sz w:val="22"/>
          <w:szCs w:val="22"/>
        </w:rPr>
      </w:pPr>
      <w:r w:rsidRPr="009C5D5D">
        <w:rPr>
          <w:sz w:val="22"/>
          <w:szCs w:val="22"/>
        </w:rPr>
        <w:lastRenderedPageBreak/>
        <w:t xml:space="preserve">In </w:t>
      </w:r>
      <w:r>
        <w:rPr>
          <w:sz w:val="22"/>
          <w:szCs w:val="22"/>
        </w:rPr>
        <w:t xml:space="preserve">the Unites States, </w:t>
      </w:r>
      <w:r w:rsidRPr="009C5D5D">
        <w:rPr>
          <w:sz w:val="22"/>
          <w:szCs w:val="22"/>
        </w:rPr>
        <w:t>the FCC revis</w:t>
      </w:r>
      <w:r>
        <w:rPr>
          <w:sz w:val="22"/>
          <w:szCs w:val="22"/>
        </w:rPr>
        <w:t>ited</w:t>
      </w:r>
      <w:r w:rsidRPr="009C5D5D">
        <w:rPr>
          <w:sz w:val="22"/>
          <w:szCs w:val="22"/>
        </w:rPr>
        <w:t xml:space="preserve"> its rules for the 5850-5925 MHz band</w:t>
      </w:r>
      <w:r>
        <w:rPr>
          <w:sz w:val="22"/>
          <w:szCs w:val="22"/>
        </w:rPr>
        <w:t xml:space="preserve"> in [5] as follows:</w:t>
      </w:r>
    </w:p>
    <w:p w14:paraId="33B971ED" w14:textId="6DD75C21" w:rsidR="009C5D5D" w:rsidRPr="009A27AD" w:rsidRDefault="009C5D5D" w:rsidP="009A27AD">
      <w:pPr>
        <w:pStyle w:val="Listenabsatz"/>
        <w:numPr>
          <w:ilvl w:val="0"/>
          <w:numId w:val="43"/>
        </w:numPr>
        <w:rPr>
          <w:rFonts w:ascii="Times New Roman" w:hAnsi="Times New Roman" w:cs="Times New Roman"/>
        </w:rPr>
      </w:pPr>
      <w:r w:rsidRPr="009A27AD">
        <w:rPr>
          <w:rFonts w:ascii="Times New Roman" w:hAnsi="Times New Roman" w:cs="Times New Roman"/>
        </w:rPr>
        <w:t>5850-5895 MHz are reallocated from DSRC to unlicensed use for technologies such as Wi-Fi</w:t>
      </w:r>
    </w:p>
    <w:p w14:paraId="67A517D8" w14:textId="29DA96F9" w:rsidR="009C5D5D" w:rsidRPr="009A27AD" w:rsidRDefault="009C5D5D" w:rsidP="009A27AD">
      <w:pPr>
        <w:pStyle w:val="Listenabsatz"/>
        <w:numPr>
          <w:ilvl w:val="0"/>
          <w:numId w:val="43"/>
        </w:numPr>
        <w:rPr>
          <w:rFonts w:ascii="Times New Roman" w:hAnsi="Times New Roman" w:cs="Times New Roman"/>
        </w:rPr>
      </w:pPr>
      <w:r w:rsidRPr="009A27AD">
        <w:rPr>
          <w:rFonts w:ascii="Times New Roman" w:hAnsi="Times New Roman" w:cs="Times New Roman"/>
        </w:rPr>
        <w:t xml:space="preserve">5895-5925 MHz are allocated to C-V2X, </w:t>
      </w:r>
      <w:proofErr w:type="gramStart"/>
      <w:r w:rsidRPr="009A27AD">
        <w:rPr>
          <w:rFonts w:ascii="Times New Roman" w:hAnsi="Times New Roman" w:cs="Times New Roman"/>
        </w:rPr>
        <w:t>i.e.</w:t>
      </w:r>
      <w:proofErr w:type="gramEnd"/>
      <w:r w:rsidRPr="009A27AD">
        <w:rPr>
          <w:rFonts w:ascii="Times New Roman" w:hAnsi="Times New Roman" w:cs="Times New Roman"/>
        </w:rPr>
        <w:t xml:space="preserve"> ITS.</w:t>
      </w:r>
    </w:p>
    <w:p w14:paraId="4C47B991" w14:textId="77777777" w:rsidR="00DE5227" w:rsidRDefault="00DE5227" w:rsidP="00734166">
      <w:pPr>
        <w:rPr>
          <w:sz w:val="22"/>
          <w:szCs w:val="22"/>
        </w:rPr>
      </w:pPr>
    </w:p>
    <w:p w14:paraId="53680C53" w14:textId="68C74A7C" w:rsidR="009C5D5D" w:rsidRDefault="009C5D5D" w:rsidP="00734166">
      <w:pPr>
        <w:rPr>
          <w:sz w:val="22"/>
          <w:szCs w:val="22"/>
        </w:rPr>
      </w:pPr>
      <w:r>
        <w:rPr>
          <w:sz w:val="22"/>
          <w:szCs w:val="22"/>
        </w:rPr>
        <w:t>Consequently, 30 MHz spectrum are available in the US for ITS services.</w:t>
      </w:r>
    </w:p>
    <w:p w14:paraId="770684B3" w14:textId="03F88151" w:rsidR="00DE5227" w:rsidRDefault="009C5D5D" w:rsidP="00E826B7">
      <w:pPr>
        <w:spacing w:after="0"/>
        <w:rPr>
          <w:sz w:val="22"/>
          <w:szCs w:val="22"/>
        </w:rPr>
      </w:pPr>
      <w:r w:rsidRPr="005C6EA8">
        <w:rPr>
          <w:b/>
          <w:bCs/>
          <w:sz w:val="24"/>
          <w:szCs w:val="24"/>
          <w:lang w:eastAsia="x-none"/>
        </w:rPr>
        <w:t xml:space="preserve">Observation </w:t>
      </w:r>
      <w:r>
        <w:rPr>
          <w:b/>
          <w:bCs/>
          <w:sz w:val="24"/>
          <w:szCs w:val="24"/>
          <w:lang w:eastAsia="x-none"/>
        </w:rPr>
        <w:t>3</w:t>
      </w:r>
      <w:r w:rsidRPr="005C6EA8">
        <w:rPr>
          <w:b/>
          <w:bCs/>
          <w:sz w:val="24"/>
          <w:szCs w:val="24"/>
          <w:lang w:eastAsia="x-none"/>
        </w:rPr>
        <w:t xml:space="preserve">: </w:t>
      </w:r>
      <w:r>
        <w:rPr>
          <w:b/>
          <w:bCs/>
          <w:sz w:val="24"/>
          <w:szCs w:val="24"/>
          <w:lang w:eastAsia="x-none"/>
        </w:rPr>
        <w:t>The ITS spectrum in the US has a bandwidth of 30 MHz.</w:t>
      </w:r>
    </w:p>
    <w:p w14:paraId="2E7F1D8B" w14:textId="77777777" w:rsidR="001567BD" w:rsidRDefault="001567BD" w:rsidP="00734166">
      <w:pPr>
        <w:rPr>
          <w:rStyle w:val="markedcontent"/>
          <w:rFonts w:ascii="Arial" w:hAnsi="Arial" w:cs="Arial"/>
          <w:sz w:val="25"/>
          <w:szCs w:val="25"/>
        </w:rPr>
      </w:pPr>
    </w:p>
    <w:p w14:paraId="7C3C4B4D" w14:textId="346C016A" w:rsidR="009C5D5D" w:rsidRPr="009A27AD" w:rsidRDefault="009C5D5D" w:rsidP="00734166">
      <w:pPr>
        <w:rPr>
          <w:rStyle w:val="markedcontent"/>
          <w:rFonts w:ascii="Arial" w:hAnsi="Arial" w:cs="Arial"/>
          <w:b/>
          <w:bCs/>
          <w:sz w:val="24"/>
          <w:szCs w:val="24"/>
        </w:rPr>
      </w:pPr>
      <w:r w:rsidRPr="009A27AD">
        <w:rPr>
          <w:rStyle w:val="markedcontent"/>
          <w:rFonts w:ascii="Arial" w:hAnsi="Arial" w:cs="Arial"/>
          <w:b/>
          <w:bCs/>
          <w:sz w:val="24"/>
          <w:szCs w:val="24"/>
        </w:rPr>
        <w:t>China</w:t>
      </w:r>
    </w:p>
    <w:p w14:paraId="61F3D877" w14:textId="05E3C1AA" w:rsidR="009C5D5D" w:rsidRDefault="009C5D5D" w:rsidP="00734166">
      <w:pPr>
        <w:rPr>
          <w:sz w:val="22"/>
          <w:szCs w:val="22"/>
        </w:rPr>
      </w:pPr>
      <w:r w:rsidRPr="009C5D5D">
        <w:rPr>
          <w:sz w:val="22"/>
          <w:szCs w:val="22"/>
        </w:rPr>
        <w:t>In China, the available spectrum available for LTE-V2X is 5905-5925 MHz</w:t>
      </w:r>
      <w:r>
        <w:rPr>
          <w:sz w:val="22"/>
          <w:szCs w:val="22"/>
        </w:rPr>
        <w:t>, where [6]:</w:t>
      </w:r>
    </w:p>
    <w:p w14:paraId="54BB2302" w14:textId="3D80153C" w:rsidR="009C5D5D" w:rsidRPr="009C5D5D" w:rsidRDefault="009C5D5D" w:rsidP="009C5D5D">
      <w:pPr>
        <w:pStyle w:val="Listenabsatz"/>
        <w:numPr>
          <w:ilvl w:val="0"/>
          <w:numId w:val="46"/>
        </w:numPr>
        <w:rPr>
          <w:rStyle w:val="markedcontent"/>
        </w:rPr>
      </w:pPr>
      <w:r w:rsidRPr="009C5D5D">
        <w:rPr>
          <w:rStyle w:val="markedcontent"/>
          <w:rFonts w:ascii="Times New Roman" w:hAnsi="Times New Roman" w:cs="Times New Roman"/>
        </w:rPr>
        <w:t>5905-59</w:t>
      </w:r>
      <w:r>
        <w:rPr>
          <w:rStyle w:val="markedcontent"/>
          <w:rFonts w:ascii="Times New Roman" w:hAnsi="Times New Roman" w:cs="Times New Roman"/>
        </w:rPr>
        <w:t>1</w:t>
      </w:r>
      <w:r w:rsidRPr="009C5D5D">
        <w:rPr>
          <w:rStyle w:val="markedcontent"/>
          <w:rFonts w:ascii="Times New Roman" w:hAnsi="Times New Roman" w:cs="Times New Roman"/>
        </w:rPr>
        <w:t>5 MHz</w:t>
      </w:r>
      <w:r>
        <w:rPr>
          <w:rStyle w:val="markedcontent"/>
          <w:rFonts w:ascii="Times New Roman" w:hAnsi="Times New Roman" w:cs="Times New Roman"/>
        </w:rPr>
        <w:t xml:space="preserve"> reserved for </w:t>
      </w:r>
      <w:r w:rsidRPr="009C5D5D">
        <w:rPr>
          <w:rStyle w:val="markedcontent"/>
          <w:rFonts w:ascii="Times New Roman" w:hAnsi="Times New Roman" w:cs="Times New Roman"/>
        </w:rPr>
        <w:t>V2V</w:t>
      </w:r>
      <w:r w:rsidRPr="009C5D5D">
        <w:rPr>
          <w:rFonts w:ascii="Times New Roman" w:hAnsi="Times New Roman" w:cs="Times New Roman"/>
        </w:rPr>
        <w:t xml:space="preserve"> </w:t>
      </w:r>
      <w:r w:rsidRPr="009C5D5D">
        <w:rPr>
          <w:rStyle w:val="markedcontent"/>
          <w:rFonts w:ascii="Times New Roman" w:hAnsi="Times New Roman" w:cs="Times New Roman"/>
        </w:rPr>
        <w:t>communications</w:t>
      </w:r>
    </w:p>
    <w:p w14:paraId="4B778BC2" w14:textId="13830704" w:rsidR="009C5D5D" w:rsidRPr="009C5D5D" w:rsidRDefault="009C5D5D" w:rsidP="009C5D5D">
      <w:pPr>
        <w:pStyle w:val="Listenabsatz"/>
        <w:numPr>
          <w:ilvl w:val="0"/>
          <w:numId w:val="46"/>
        </w:numPr>
        <w:rPr>
          <w:rStyle w:val="markedcontent"/>
        </w:rPr>
      </w:pPr>
      <w:r w:rsidRPr="009C5D5D">
        <w:rPr>
          <w:rStyle w:val="markedcontent"/>
          <w:rFonts w:ascii="Times New Roman" w:hAnsi="Times New Roman" w:cs="Times New Roman"/>
        </w:rPr>
        <w:t>59</w:t>
      </w:r>
      <w:r>
        <w:rPr>
          <w:rStyle w:val="markedcontent"/>
          <w:rFonts w:ascii="Times New Roman" w:hAnsi="Times New Roman" w:cs="Times New Roman"/>
        </w:rPr>
        <w:t>1</w:t>
      </w:r>
      <w:r w:rsidRPr="009C5D5D">
        <w:rPr>
          <w:rStyle w:val="markedcontent"/>
          <w:rFonts w:ascii="Times New Roman" w:hAnsi="Times New Roman" w:cs="Times New Roman"/>
        </w:rPr>
        <w:t>5-5925 MHz</w:t>
      </w:r>
      <w:r>
        <w:rPr>
          <w:rStyle w:val="markedcontent"/>
          <w:rFonts w:ascii="Times New Roman" w:hAnsi="Times New Roman" w:cs="Times New Roman"/>
        </w:rPr>
        <w:t xml:space="preserve"> reserved </w:t>
      </w:r>
      <w:r w:rsidRPr="009C5D5D">
        <w:rPr>
          <w:rStyle w:val="markedcontent"/>
          <w:rFonts w:ascii="Times New Roman" w:hAnsi="Times New Roman" w:cs="Times New Roman"/>
        </w:rPr>
        <w:t>for V2I/I2V communications</w:t>
      </w:r>
    </w:p>
    <w:p w14:paraId="4C303B63" w14:textId="03AC2788" w:rsidR="009C5D5D" w:rsidRDefault="009C5D5D" w:rsidP="009C5D5D"/>
    <w:p w14:paraId="7E753131" w14:textId="3FE4CDF4" w:rsidR="009C5D5D" w:rsidRDefault="009C5D5D" w:rsidP="009C5D5D">
      <w:pPr>
        <w:rPr>
          <w:sz w:val="22"/>
          <w:szCs w:val="22"/>
        </w:rPr>
      </w:pPr>
      <w:r w:rsidRPr="009C5D5D">
        <w:rPr>
          <w:sz w:val="22"/>
          <w:szCs w:val="22"/>
        </w:rPr>
        <w:t>Thus,</w:t>
      </w:r>
      <w:r>
        <w:rPr>
          <w:sz w:val="22"/>
          <w:szCs w:val="22"/>
        </w:rPr>
        <w:t xml:space="preserve"> 20 MHz spectrum are available in the </w:t>
      </w:r>
      <w:r w:rsidR="001567BD">
        <w:rPr>
          <w:sz w:val="22"/>
          <w:szCs w:val="22"/>
        </w:rPr>
        <w:t xml:space="preserve">China </w:t>
      </w:r>
      <w:r>
        <w:rPr>
          <w:sz w:val="22"/>
          <w:szCs w:val="22"/>
        </w:rPr>
        <w:t xml:space="preserve">for ITS services. However, </w:t>
      </w:r>
      <w:proofErr w:type="gramStart"/>
      <w:r>
        <w:rPr>
          <w:sz w:val="22"/>
          <w:szCs w:val="22"/>
        </w:rPr>
        <w:t>similar to</w:t>
      </w:r>
      <w:proofErr w:type="gramEnd"/>
      <w:r>
        <w:rPr>
          <w:sz w:val="22"/>
          <w:szCs w:val="22"/>
        </w:rPr>
        <w:t xml:space="preserve"> Europe, channels of 10 MHz bandwidth exist.</w:t>
      </w:r>
    </w:p>
    <w:p w14:paraId="33E348CB" w14:textId="0DF9D3FD" w:rsidR="009C5D5D" w:rsidRPr="005C6EA8" w:rsidRDefault="009C5D5D" w:rsidP="009C5D5D">
      <w:pPr>
        <w:spacing w:after="0"/>
        <w:rPr>
          <w:b/>
          <w:bCs/>
          <w:sz w:val="24"/>
          <w:szCs w:val="24"/>
          <w:lang w:eastAsia="x-none"/>
        </w:rPr>
      </w:pPr>
      <w:r w:rsidRPr="005C6EA8">
        <w:rPr>
          <w:b/>
          <w:bCs/>
          <w:sz w:val="24"/>
          <w:szCs w:val="24"/>
          <w:lang w:eastAsia="x-none"/>
        </w:rPr>
        <w:t xml:space="preserve">Observation </w:t>
      </w:r>
      <w:r>
        <w:rPr>
          <w:b/>
          <w:bCs/>
          <w:sz w:val="24"/>
          <w:szCs w:val="24"/>
          <w:lang w:eastAsia="x-none"/>
        </w:rPr>
        <w:t>4</w:t>
      </w:r>
      <w:r w:rsidRPr="005C6EA8">
        <w:rPr>
          <w:b/>
          <w:bCs/>
          <w:sz w:val="24"/>
          <w:szCs w:val="24"/>
          <w:lang w:eastAsia="x-none"/>
        </w:rPr>
        <w:t xml:space="preserve">: </w:t>
      </w:r>
      <w:r>
        <w:rPr>
          <w:b/>
          <w:bCs/>
          <w:sz w:val="24"/>
          <w:szCs w:val="24"/>
          <w:lang w:eastAsia="x-none"/>
        </w:rPr>
        <w:t>The ITS spectrum in China has a bandwidth of 20 MHz with two channels of 10 MHz bandwidth each.</w:t>
      </w:r>
    </w:p>
    <w:p w14:paraId="3A6A71AD" w14:textId="312F6BCF" w:rsidR="009C5D5D" w:rsidRPr="009A27AD" w:rsidRDefault="009C5D5D" w:rsidP="009A27AD">
      <w:pPr>
        <w:spacing w:after="0"/>
        <w:rPr>
          <w:b/>
          <w:bCs/>
          <w:sz w:val="24"/>
          <w:szCs w:val="24"/>
          <w:lang w:eastAsia="x-none"/>
        </w:rPr>
      </w:pPr>
    </w:p>
    <w:p w14:paraId="575781D6" w14:textId="122AD9D1" w:rsidR="00B85850" w:rsidRDefault="00B85850" w:rsidP="00B85850">
      <w:pPr>
        <w:spacing w:after="0"/>
        <w:rPr>
          <w:b/>
          <w:bCs/>
          <w:sz w:val="24"/>
          <w:szCs w:val="24"/>
          <w:lang w:eastAsia="x-none"/>
        </w:rPr>
      </w:pPr>
      <w:bookmarkStart w:id="5" w:name="_Hlk111064615"/>
      <w:bookmarkStart w:id="6" w:name="_Hlk111065338"/>
      <w:r w:rsidRPr="005C6EA8">
        <w:rPr>
          <w:b/>
          <w:bCs/>
          <w:sz w:val="24"/>
          <w:szCs w:val="24"/>
          <w:lang w:eastAsia="x-none"/>
        </w:rPr>
        <w:t xml:space="preserve">Observation </w:t>
      </w:r>
      <w:r>
        <w:rPr>
          <w:b/>
          <w:bCs/>
          <w:sz w:val="24"/>
          <w:szCs w:val="24"/>
          <w:lang w:eastAsia="x-none"/>
        </w:rPr>
        <w:t>5</w:t>
      </w:r>
      <w:r w:rsidRPr="005C6EA8">
        <w:rPr>
          <w:b/>
          <w:bCs/>
          <w:sz w:val="24"/>
          <w:szCs w:val="24"/>
          <w:lang w:eastAsia="x-none"/>
        </w:rPr>
        <w:t xml:space="preserve">: </w:t>
      </w:r>
      <w:r>
        <w:rPr>
          <w:b/>
          <w:bCs/>
          <w:sz w:val="24"/>
          <w:szCs w:val="24"/>
          <w:lang w:eastAsia="x-none"/>
        </w:rPr>
        <w:t xml:space="preserve">According to our </w:t>
      </w:r>
      <w:r w:rsidR="009A27AD">
        <w:rPr>
          <w:b/>
          <w:bCs/>
          <w:sz w:val="24"/>
          <w:szCs w:val="24"/>
          <w:lang w:eastAsia="x-none"/>
        </w:rPr>
        <w:t>regional analysis,</w:t>
      </w:r>
      <w:r>
        <w:rPr>
          <w:b/>
          <w:bCs/>
          <w:sz w:val="24"/>
          <w:szCs w:val="24"/>
          <w:lang w:eastAsia="x-none"/>
        </w:rPr>
        <w:t xml:space="preserve"> the maximum available bandwidth in the dedicated ITS spectrum is </w:t>
      </w:r>
      <w:r w:rsidR="009A27AD">
        <w:rPr>
          <w:b/>
          <w:bCs/>
          <w:sz w:val="24"/>
          <w:szCs w:val="24"/>
          <w:lang w:eastAsia="x-none"/>
        </w:rPr>
        <w:t xml:space="preserve">always </w:t>
      </w:r>
      <w:r>
        <w:rPr>
          <w:b/>
          <w:bCs/>
          <w:sz w:val="24"/>
          <w:szCs w:val="24"/>
          <w:lang w:eastAsia="x-none"/>
        </w:rPr>
        <w:t>less than 40 MHz.</w:t>
      </w:r>
    </w:p>
    <w:p w14:paraId="09182FF5" w14:textId="77777777" w:rsidR="00B85850" w:rsidRDefault="00B85850" w:rsidP="00C35747">
      <w:pPr>
        <w:spacing w:after="0"/>
        <w:rPr>
          <w:b/>
          <w:bCs/>
          <w:sz w:val="24"/>
          <w:szCs w:val="24"/>
          <w:lang w:eastAsia="x-none"/>
        </w:rPr>
      </w:pPr>
    </w:p>
    <w:p w14:paraId="3846DC35" w14:textId="4A409149" w:rsidR="00B85850" w:rsidRDefault="00C35747" w:rsidP="00B85850">
      <w:pPr>
        <w:spacing w:after="0"/>
        <w:rPr>
          <w:b/>
          <w:bCs/>
          <w:sz w:val="24"/>
          <w:szCs w:val="24"/>
          <w:lang w:eastAsia="x-none"/>
        </w:rPr>
      </w:pPr>
      <w:r>
        <w:rPr>
          <w:b/>
          <w:bCs/>
          <w:sz w:val="24"/>
          <w:szCs w:val="24"/>
          <w:lang w:eastAsia="x-none"/>
        </w:rPr>
        <w:t xml:space="preserve">Proposal </w:t>
      </w:r>
      <w:r w:rsidR="005D1557">
        <w:rPr>
          <w:b/>
          <w:bCs/>
          <w:sz w:val="24"/>
          <w:szCs w:val="24"/>
          <w:lang w:eastAsia="x-none"/>
        </w:rPr>
        <w:t>2</w:t>
      </w:r>
      <w:r w:rsidRPr="005C6EA8">
        <w:rPr>
          <w:b/>
          <w:bCs/>
          <w:sz w:val="24"/>
          <w:szCs w:val="24"/>
          <w:lang w:eastAsia="x-none"/>
        </w:rPr>
        <w:t xml:space="preserve">: </w:t>
      </w:r>
      <w:r w:rsidR="009A27AD">
        <w:rPr>
          <w:b/>
          <w:bCs/>
          <w:sz w:val="24"/>
          <w:szCs w:val="24"/>
          <w:lang w:eastAsia="x-none"/>
        </w:rPr>
        <w:t>For</w:t>
      </w:r>
      <w:r w:rsidR="00FF14A1">
        <w:rPr>
          <w:b/>
          <w:bCs/>
          <w:sz w:val="24"/>
          <w:szCs w:val="24"/>
          <w:lang w:eastAsia="x-none"/>
        </w:rPr>
        <w:t xml:space="preserve"> sidelink</w:t>
      </w:r>
      <w:r w:rsidR="009A27AD">
        <w:rPr>
          <w:b/>
          <w:bCs/>
          <w:sz w:val="24"/>
          <w:szCs w:val="24"/>
          <w:lang w:eastAsia="x-none"/>
        </w:rPr>
        <w:t xml:space="preserve"> </w:t>
      </w:r>
      <w:r w:rsidR="00816B1B" w:rsidRPr="00816B1B">
        <w:rPr>
          <w:b/>
          <w:bCs/>
          <w:sz w:val="24"/>
          <w:szCs w:val="24"/>
          <w:lang w:eastAsia="x-none"/>
        </w:rPr>
        <w:t xml:space="preserve">positioning </w:t>
      </w:r>
      <w:r w:rsidR="009A27AD" w:rsidRPr="009A27AD">
        <w:rPr>
          <w:b/>
          <w:bCs/>
          <w:sz w:val="24"/>
          <w:szCs w:val="24"/>
          <w:lang w:eastAsia="x-none"/>
        </w:rPr>
        <w:t xml:space="preserve">in </w:t>
      </w:r>
      <w:r w:rsidR="009A27AD">
        <w:rPr>
          <w:b/>
          <w:bCs/>
          <w:sz w:val="24"/>
          <w:szCs w:val="24"/>
          <w:lang w:eastAsia="x-none"/>
        </w:rPr>
        <w:t xml:space="preserve">dedicated ITS spectrum (including band n47) consider a bandwidth smaller than (and not including) 40 MHz. </w:t>
      </w:r>
    </w:p>
    <w:bookmarkEnd w:id="5"/>
    <w:p w14:paraId="6CEEA552" w14:textId="77777777" w:rsidR="00B85850" w:rsidRDefault="00B85850" w:rsidP="00E33C6D">
      <w:pPr>
        <w:spacing w:after="0"/>
        <w:rPr>
          <w:b/>
          <w:bCs/>
          <w:sz w:val="24"/>
          <w:szCs w:val="24"/>
          <w:lang w:eastAsia="x-none"/>
        </w:rPr>
      </w:pPr>
    </w:p>
    <w:bookmarkEnd w:id="6"/>
    <w:p w14:paraId="115F48F8" w14:textId="6183D7EE" w:rsidR="00CB7E0C" w:rsidRDefault="00D2701A" w:rsidP="00CB7E0C">
      <w:pPr>
        <w:pStyle w:val="berschrift3"/>
      </w:pPr>
      <w:r>
        <w:t xml:space="preserve">Sidelink Positioning in </w:t>
      </w:r>
      <w:r w:rsidR="00CB7E0C">
        <w:t>Unlicensed Band</w:t>
      </w:r>
    </w:p>
    <w:p w14:paraId="0F7F1C5A" w14:textId="1F0F2DD0" w:rsidR="00CB7E0C" w:rsidRPr="00D2701A" w:rsidRDefault="00CB7E0C" w:rsidP="00CB7E0C">
      <w:pPr>
        <w:rPr>
          <w:bCs/>
          <w:sz w:val="22"/>
          <w:szCs w:val="22"/>
        </w:rPr>
      </w:pPr>
      <w:r w:rsidRPr="00D2701A">
        <w:rPr>
          <w:bCs/>
          <w:sz w:val="22"/>
          <w:szCs w:val="22"/>
        </w:rPr>
        <w:t xml:space="preserve">In </w:t>
      </w:r>
      <w:r w:rsidR="00E82915" w:rsidRPr="00D2701A">
        <w:rPr>
          <w:bCs/>
          <w:sz w:val="22"/>
          <w:szCs w:val="22"/>
        </w:rPr>
        <w:t xml:space="preserve">RAN1#109e, RAN1 </w:t>
      </w:r>
      <w:r w:rsidRPr="00D2701A">
        <w:rPr>
          <w:bCs/>
          <w:sz w:val="22"/>
          <w:szCs w:val="22"/>
        </w:rPr>
        <w:t xml:space="preserve">has started to investigate the </w:t>
      </w:r>
      <w:r w:rsidR="00E82915" w:rsidRPr="00D2701A">
        <w:rPr>
          <w:bCs/>
          <w:sz w:val="22"/>
          <w:szCs w:val="22"/>
        </w:rPr>
        <w:t xml:space="preserve">possibilities to reuse NR-U in the scope of sidelink. </w:t>
      </w:r>
      <w:r w:rsidR="00D2701A" w:rsidRPr="00D2701A">
        <w:rPr>
          <w:bCs/>
          <w:sz w:val="22"/>
          <w:szCs w:val="22"/>
        </w:rPr>
        <w:t xml:space="preserve">In general, the WID </w:t>
      </w:r>
      <w:r w:rsidR="00D2701A">
        <w:rPr>
          <w:bCs/>
          <w:sz w:val="22"/>
          <w:szCs w:val="22"/>
        </w:rPr>
        <w:t>mentioned only the licensed and ITS band. Nevertheless, in the note of the WID it is stated:</w:t>
      </w:r>
    </w:p>
    <w:p w14:paraId="2769A73D" w14:textId="4CC3DA2A" w:rsidR="00D2701A" w:rsidRPr="00D2701A" w:rsidRDefault="00D2701A" w:rsidP="00D2701A">
      <w:pPr>
        <w:spacing w:after="0" w:line="256" w:lineRule="auto"/>
        <w:rPr>
          <w:rFonts w:eastAsia="Calibri"/>
          <w:bCs/>
          <w:i/>
          <w:iCs/>
          <w:sz w:val="22"/>
          <w:szCs w:val="22"/>
          <w:lang w:val="en-US"/>
        </w:rPr>
      </w:pPr>
      <w:r>
        <w:rPr>
          <w:rFonts w:eastAsia="Calibri"/>
          <w:bCs/>
          <w:i/>
          <w:iCs/>
          <w:sz w:val="22"/>
          <w:szCs w:val="22"/>
          <w:lang w:val="en-US"/>
        </w:rPr>
        <w:t>“</w:t>
      </w:r>
      <w:r w:rsidRPr="00D2701A">
        <w:rPr>
          <w:rFonts w:eastAsia="Calibri"/>
          <w:bCs/>
          <w:i/>
          <w:iCs/>
          <w:sz w:val="22"/>
          <w:szCs w:val="22"/>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r>
        <w:rPr>
          <w:rFonts w:eastAsia="Calibri"/>
          <w:bCs/>
          <w:i/>
          <w:iCs/>
          <w:sz w:val="22"/>
          <w:szCs w:val="22"/>
          <w:lang w:val="en-US"/>
        </w:rPr>
        <w:t>”</w:t>
      </w:r>
    </w:p>
    <w:p w14:paraId="78BD3556" w14:textId="77777777" w:rsidR="00A74A95" w:rsidRDefault="00A74A95" w:rsidP="00CB7E0C">
      <w:pPr>
        <w:rPr>
          <w:bCs/>
          <w:sz w:val="22"/>
          <w:szCs w:val="22"/>
          <w:lang w:val="en-US"/>
        </w:rPr>
      </w:pPr>
    </w:p>
    <w:p w14:paraId="0E019D52" w14:textId="6B017FB7" w:rsidR="00D2701A" w:rsidRDefault="00D2701A" w:rsidP="00CB7E0C">
      <w:pPr>
        <w:rPr>
          <w:bCs/>
          <w:sz w:val="22"/>
          <w:szCs w:val="22"/>
          <w:lang w:val="en-US"/>
        </w:rPr>
      </w:pPr>
      <w:r w:rsidRPr="00D2701A">
        <w:rPr>
          <w:bCs/>
          <w:sz w:val="22"/>
          <w:szCs w:val="22"/>
          <w:lang w:val="en-US"/>
        </w:rPr>
        <w:t xml:space="preserve">In our </w:t>
      </w:r>
      <w:r>
        <w:rPr>
          <w:bCs/>
          <w:sz w:val="22"/>
          <w:szCs w:val="22"/>
          <w:lang w:val="en-US"/>
        </w:rPr>
        <w:t>understanding, the unlicensed band provides sufficient bandwidth to unlock sidelink positioning</w:t>
      </w:r>
      <w:r w:rsidR="005D1557">
        <w:rPr>
          <w:bCs/>
          <w:sz w:val="22"/>
          <w:szCs w:val="22"/>
          <w:lang w:val="en-US"/>
        </w:rPr>
        <w:t>,</w:t>
      </w:r>
      <w:r>
        <w:rPr>
          <w:bCs/>
          <w:sz w:val="22"/>
          <w:szCs w:val="22"/>
          <w:lang w:val="en-US"/>
        </w:rPr>
        <w:t xml:space="preserve"> </w:t>
      </w:r>
      <w:r w:rsidR="005D1557">
        <w:rPr>
          <w:bCs/>
          <w:sz w:val="22"/>
          <w:szCs w:val="22"/>
          <w:lang w:val="en-US"/>
        </w:rPr>
        <w:t xml:space="preserve">and its expected accuracy, </w:t>
      </w:r>
      <w:r>
        <w:rPr>
          <w:bCs/>
          <w:sz w:val="22"/>
          <w:szCs w:val="22"/>
          <w:lang w:val="en-US"/>
        </w:rPr>
        <w:t xml:space="preserve">with a channel bandwidth of up to 100 MHz as agreed in </w:t>
      </w:r>
      <w:r w:rsidRPr="00D2701A">
        <w:rPr>
          <w:bCs/>
          <w:sz w:val="22"/>
          <w:szCs w:val="22"/>
          <w:lang w:val="en-US"/>
        </w:rPr>
        <w:t>RAN1#109e</w:t>
      </w:r>
      <w:r>
        <w:rPr>
          <w:bCs/>
          <w:sz w:val="22"/>
          <w:szCs w:val="22"/>
          <w:lang w:val="en-US"/>
        </w:rPr>
        <w:t xml:space="preserve">. </w:t>
      </w:r>
    </w:p>
    <w:p w14:paraId="34BD7CD3" w14:textId="554EB6A9" w:rsidR="00D2701A" w:rsidRPr="00D2701A" w:rsidRDefault="00D2701A" w:rsidP="00CB7E0C">
      <w:pPr>
        <w:rPr>
          <w:bCs/>
          <w:sz w:val="22"/>
          <w:szCs w:val="22"/>
          <w:lang w:val="en-US"/>
        </w:rPr>
      </w:pPr>
      <w:r>
        <w:rPr>
          <w:bCs/>
          <w:sz w:val="22"/>
          <w:szCs w:val="22"/>
          <w:lang w:val="en-US"/>
        </w:rPr>
        <w:t>Furthermore, although dedicated ITS spectrum for safety-related road ITS application exists, sidelink positioning use cases</w:t>
      </w:r>
      <w:r w:rsidR="005D1557">
        <w:rPr>
          <w:bCs/>
          <w:sz w:val="22"/>
          <w:szCs w:val="22"/>
          <w:lang w:val="en-US"/>
        </w:rPr>
        <w:t xml:space="preserve"> and its usability</w:t>
      </w:r>
      <w:r>
        <w:rPr>
          <w:bCs/>
          <w:sz w:val="22"/>
          <w:szCs w:val="22"/>
          <w:lang w:val="en-US"/>
        </w:rPr>
        <w:t xml:space="preserve"> for V2X </w:t>
      </w:r>
      <w:r w:rsidR="005D1557">
        <w:rPr>
          <w:bCs/>
          <w:sz w:val="22"/>
          <w:szCs w:val="22"/>
          <w:lang w:val="en-US"/>
        </w:rPr>
        <w:t xml:space="preserve">should </w:t>
      </w:r>
      <w:r>
        <w:rPr>
          <w:bCs/>
          <w:sz w:val="22"/>
          <w:szCs w:val="22"/>
          <w:lang w:val="en-US"/>
        </w:rPr>
        <w:t xml:space="preserve">not limited to the ITS spectrum. </w:t>
      </w:r>
    </w:p>
    <w:p w14:paraId="13FDD5B6" w14:textId="69E5B436" w:rsidR="00D2701A" w:rsidRPr="00D2701A" w:rsidRDefault="00D2701A" w:rsidP="00D2701A">
      <w:pPr>
        <w:rPr>
          <w:bCs/>
          <w:sz w:val="22"/>
          <w:szCs w:val="22"/>
        </w:rPr>
      </w:pPr>
      <w:r w:rsidRPr="00D2701A">
        <w:rPr>
          <w:bCs/>
          <w:sz w:val="22"/>
          <w:szCs w:val="22"/>
        </w:rPr>
        <w:t xml:space="preserve">In our understanding the study should start from a generic investigation first to determine the bandwidth to fulfil </w:t>
      </w:r>
      <w:r w:rsidR="005D1557">
        <w:rPr>
          <w:bCs/>
          <w:sz w:val="22"/>
          <w:szCs w:val="22"/>
        </w:rPr>
        <w:t>the determined V2X</w:t>
      </w:r>
      <w:r w:rsidR="005D1557" w:rsidRPr="00D2701A">
        <w:rPr>
          <w:bCs/>
          <w:sz w:val="22"/>
          <w:szCs w:val="22"/>
        </w:rPr>
        <w:t xml:space="preserve"> </w:t>
      </w:r>
      <w:r w:rsidRPr="00D2701A">
        <w:rPr>
          <w:bCs/>
          <w:sz w:val="22"/>
          <w:szCs w:val="22"/>
        </w:rPr>
        <w:t>requirement</w:t>
      </w:r>
      <w:r w:rsidR="005D1557">
        <w:rPr>
          <w:bCs/>
          <w:sz w:val="22"/>
          <w:szCs w:val="22"/>
        </w:rPr>
        <w:t>s in [7]</w:t>
      </w:r>
      <w:r w:rsidRPr="00D2701A">
        <w:rPr>
          <w:bCs/>
          <w:sz w:val="22"/>
          <w:szCs w:val="22"/>
        </w:rPr>
        <w:t>.</w:t>
      </w:r>
      <w:r>
        <w:rPr>
          <w:bCs/>
          <w:sz w:val="22"/>
          <w:szCs w:val="22"/>
        </w:rPr>
        <w:t xml:space="preserve"> Afterwards, based on the determine bandwidth</w:t>
      </w:r>
      <w:r w:rsidR="005D1557">
        <w:rPr>
          <w:bCs/>
          <w:sz w:val="22"/>
          <w:szCs w:val="22"/>
        </w:rPr>
        <w:t xml:space="preserve"> requirement, possible</w:t>
      </w:r>
      <w:r>
        <w:rPr>
          <w:bCs/>
          <w:sz w:val="22"/>
          <w:szCs w:val="22"/>
        </w:rPr>
        <w:t xml:space="preserve"> </w:t>
      </w:r>
      <w:r w:rsidR="005D1557">
        <w:rPr>
          <w:bCs/>
          <w:sz w:val="22"/>
          <w:szCs w:val="22"/>
        </w:rPr>
        <w:t xml:space="preserve">licensed and unlicensed spectra </w:t>
      </w:r>
      <w:r>
        <w:rPr>
          <w:bCs/>
          <w:sz w:val="22"/>
          <w:szCs w:val="22"/>
        </w:rPr>
        <w:t xml:space="preserve">should be identified providing </w:t>
      </w:r>
      <w:r w:rsidR="005D1557">
        <w:rPr>
          <w:bCs/>
          <w:sz w:val="22"/>
          <w:szCs w:val="22"/>
        </w:rPr>
        <w:t>further analysis for each specific spectrum</w:t>
      </w:r>
      <w:r>
        <w:rPr>
          <w:bCs/>
          <w:sz w:val="22"/>
          <w:szCs w:val="22"/>
        </w:rPr>
        <w:t xml:space="preserve">. </w:t>
      </w:r>
    </w:p>
    <w:p w14:paraId="08B2CF6A" w14:textId="77777777" w:rsidR="00D2701A" w:rsidRDefault="00D2701A" w:rsidP="00CB7E0C">
      <w:pPr>
        <w:spacing w:after="0"/>
        <w:rPr>
          <w:b/>
          <w:bCs/>
          <w:sz w:val="24"/>
          <w:szCs w:val="24"/>
          <w:lang w:eastAsia="x-none"/>
        </w:rPr>
      </w:pPr>
    </w:p>
    <w:p w14:paraId="3D387545" w14:textId="6A44AAB8" w:rsidR="00CB7E0C" w:rsidRDefault="00CB7E0C" w:rsidP="00CB7E0C">
      <w:pPr>
        <w:spacing w:after="0"/>
        <w:rPr>
          <w:b/>
          <w:bCs/>
          <w:sz w:val="24"/>
          <w:szCs w:val="24"/>
          <w:lang w:eastAsia="x-none"/>
        </w:rPr>
      </w:pPr>
      <w:bookmarkStart w:id="7" w:name="_Hlk111065436"/>
      <w:r w:rsidRPr="005C6EA8">
        <w:rPr>
          <w:b/>
          <w:bCs/>
          <w:sz w:val="24"/>
          <w:szCs w:val="24"/>
          <w:lang w:eastAsia="x-none"/>
        </w:rPr>
        <w:t xml:space="preserve">Observation </w:t>
      </w:r>
      <w:r w:rsidR="00B85850">
        <w:rPr>
          <w:b/>
          <w:bCs/>
          <w:sz w:val="24"/>
          <w:szCs w:val="24"/>
          <w:lang w:eastAsia="x-none"/>
        </w:rPr>
        <w:t>6</w:t>
      </w:r>
      <w:r w:rsidRPr="005C6EA8">
        <w:rPr>
          <w:b/>
          <w:bCs/>
          <w:sz w:val="24"/>
          <w:szCs w:val="24"/>
          <w:lang w:eastAsia="x-none"/>
        </w:rPr>
        <w:t xml:space="preserve">: </w:t>
      </w:r>
      <w:r>
        <w:rPr>
          <w:b/>
          <w:bCs/>
          <w:sz w:val="24"/>
          <w:szCs w:val="24"/>
          <w:lang w:eastAsia="x-none"/>
        </w:rPr>
        <w:t xml:space="preserve">RAN1 has started work in RAN1#109e </w:t>
      </w:r>
      <w:r w:rsidR="00E82915">
        <w:rPr>
          <w:b/>
          <w:bCs/>
          <w:sz w:val="24"/>
          <w:szCs w:val="24"/>
          <w:lang w:eastAsia="x-none"/>
        </w:rPr>
        <w:t xml:space="preserve">to </w:t>
      </w:r>
      <w:r w:rsidR="009A27AD">
        <w:rPr>
          <w:b/>
          <w:bCs/>
          <w:sz w:val="24"/>
          <w:szCs w:val="24"/>
          <w:lang w:eastAsia="x-none"/>
        </w:rPr>
        <w:t xml:space="preserve">study </w:t>
      </w:r>
      <w:r w:rsidR="00E82915">
        <w:rPr>
          <w:b/>
          <w:bCs/>
          <w:sz w:val="24"/>
          <w:szCs w:val="24"/>
          <w:lang w:eastAsia="x-none"/>
        </w:rPr>
        <w:t xml:space="preserve">sidelink </w:t>
      </w:r>
      <w:r w:rsidR="009A27AD">
        <w:rPr>
          <w:b/>
          <w:bCs/>
          <w:sz w:val="24"/>
          <w:szCs w:val="24"/>
          <w:lang w:eastAsia="x-none"/>
        </w:rPr>
        <w:t>operation in</w:t>
      </w:r>
      <w:r w:rsidR="00E82915">
        <w:rPr>
          <w:b/>
          <w:bCs/>
          <w:sz w:val="24"/>
          <w:szCs w:val="24"/>
          <w:lang w:eastAsia="x-none"/>
        </w:rPr>
        <w:t xml:space="preserve"> unlicensed spectrum</w:t>
      </w:r>
      <w:r w:rsidR="00D2701A">
        <w:rPr>
          <w:b/>
          <w:bCs/>
          <w:sz w:val="24"/>
          <w:szCs w:val="24"/>
          <w:lang w:eastAsia="x-none"/>
        </w:rPr>
        <w:t>.</w:t>
      </w:r>
    </w:p>
    <w:bookmarkEnd w:id="7"/>
    <w:p w14:paraId="49CBABBF" w14:textId="77777777" w:rsidR="00937C66" w:rsidRDefault="00937C66" w:rsidP="00D2701A">
      <w:pPr>
        <w:spacing w:after="0"/>
        <w:rPr>
          <w:b/>
          <w:bCs/>
          <w:sz w:val="24"/>
          <w:szCs w:val="24"/>
          <w:lang w:eastAsia="x-none"/>
        </w:rPr>
      </w:pPr>
    </w:p>
    <w:p w14:paraId="087DC4E2" w14:textId="5AACF96C" w:rsidR="00FF14A1" w:rsidRDefault="00D2701A" w:rsidP="00D2701A">
      <w:pPr>
        <w:spacing w:after="0"/>
        <w:rPr>
          <w:b/>
          <w:bCs/>
          <w:sz w:val="24"/>
          <w:szCs w:val="24"/>
          <w:lang w:eastAsia="x-none"/>
        </w:rPr>
      </w:pPr>
      <w:r>
        <w:rPr>
          <w:b/>
          <w:bCs/>
          <w:sz w:val="24"/>
          <w:szCs w:val="24"/>
          <w:lang w:eastAsia="x-none"/>
        </w:rPr>
        <w:lastRenderedPageBreak/>
        <w:t xml:space="preserve">Proposal </w:t>
      </w:r>
      <w:r w:rsidR="00FF14A1">
        <w:rPr>
          <w:b/>
          <w:bCs/>
          <w:sz w:val="24"/>
          <w:szCs w:val="24"/>
          <w:lang w:eastAsia="x-none"/>
        </w:rPr>
        <w:t>3</w:t>
      </w:r>
      <w:r w:rsidRPr="005C6EA8">
        <w:rPr>
          <w:b/>
          <w:bCs/>
          <w:sz w:val="24"/>
          <w:szCs w:val="24"/>
          <w:lang w:eastAsia="x-none"/>
        </w:rPr>
        <w:t xml:space="preserve">: </w:t>
      </w:r>
      <w:r>
        <w:rPr>
          <w:b/>
          <w:bCs/>
          <w:sz w:val="24"/>
          <w:szCs w:val="24"/>
          <w:lang w:eastAsia="x-none"/>
        </w:rPr>
        <w:t xml:space="preserve">To fulfil the </w:t>
      </w:r>
      <w:r w:rsidR="001567BD">
        <w:rPr>
          <w:b/>
          <w:bCs/>
          <w:sz w:val="24"/>
          <w:szCs w:val="24"/>
          <w:lang w:eastAsia="x-none"/>
        </w:rPr>
        <w:t xml:space="preserve">sidelink positioning </w:t>
      </w:r>
      <w:r>
        <w:rPr>
          <w:b/>
          <w:bCs/>
          <w:sz w:val="24"/>
          <w:szCs w:val="24"/>
          <w:lang w:eastAsia="x-none"/>
        </w:rPr>
        <w:t xml:space="preserve">requirements of V2X use cases in terms of bandwidth, investigations should not be limited </w:t>
      </w:r>
      <w:r w:rsidR="00DE5227">
        <w:rPr>
          <w:b/>
          <w:bCs/>
          <w:sz w:val="24"/>
          <w:szCs w:val="24"/>
          <w:lang w:eastAsia="x-none"/>
        </w:rPr>
        <w:t>by</w:t>
      </w:r>
      <w:r>
        <w:rPr>
          <w:b/>
          <w:bCs/>
          <w:sz w:val="24"/>
          <w:szCs w:val="24"/>
          <w:lang w:eastAsia="x-none"/>
        </w:rPr>
        <w:t xml:space="preserve"> </w:t>
      </w:r>
      <w:r w:rsidR="001567BD">
        <w:rPr>
          <w:b/>
          <w:bCs/>
          <w:sz w:val="24"/>
          <w:szCs w:val="24"/>
          <w:lang w:eastAsia="x-none"/>
        </w:rPr>
        <w:t xml:space="preserve">bandwidth </w:t>
      </w:r>
      <w:r w:rsidR="00DE5227">
        <w:rPr>
          <w:b/>
          <w:bCs/>
          <w:sz w:val="24"/>
          <w:szCs w:val="24"/>
          <w:lang w:eastAsia="x-none"/>
        </w:rPr>
        <w:t>restrictions</w:t>
      </w:r>
      <w:r w:rsidR="00E33C6D">
        <w:rPr>
          <w:b/>
          <w:bCs/>
          <w:sz w:val="24"/>
          <w:szCs w:val="24"/>
          <w:lang w:eastAsia="x-none"/>
        </w:rPr>
        <w:t xml:space="preserve"> </w:t>
      </w:r>
      <w:r w:rsidR="00DE5227">
        <w:rPr>
          <w:b/>
          <w:bCs/>
          <w:sz w:val="24"/>
          <w:szCs w:val="24"/>
          <w:lang w:eastAsia="x-none"/>
        </w:rPr>
        <w:t xml:space="preserve">in </w:t>
      </w:r>
      <w:r>
        <w:rPr>
          <w:b/>
          <w:bCs/>
          <w:sz w:val="24"/>
          <w:szCs w:val="24"/>
          <w:lang w:eastAsia="x-none"/>
        </w:rPr>
        <w:t>the ITS band.</w:t>
      </w:r>
    </w:p>
    <w:p w14:paraId="7AE57371" w14:textId="48F20A31" w:rsidR="00D2701A" w:rsidRDefault="00D2701A" w:rsidP="00D2701A">
      <w:pPr>
        <w:spacing w:after="0"/>
        <w:rPr>
          <w:b/>
          <w:bCs/>
          <w:sz w:val="24"/>
          <w:szCs w:val="24"/>
          <w:lang w:eastAsia="x-none"/>
        </w:rPr>
      </w:pPr>
      <w:r>
        <w:rPr>
          <w:b/>
          <w:bCs/>
          <w:sz w:val="24"/>
          <w:szCs w:val="24"/>
          <w:lang w:eastAsia="x-none"/>
        </w:rPr>
        <w:t xml:space="preserve"> </w:t>
      </w:r>
    </w:p>
    <w:p w14:paraId="1217B30C" w14:textId="77AB4958" w:rsidR="00F74ECD" w:rsidRDefault="00F74ECD" w:rsidP="00D2701A">
      <w:pPr>
        <w:spacing w:after="0"/>
        <w:rPr>
          <w:b/>
          <w:bCs/>
          <w:sz w:val="24"/>
          <w:szCs w:val="24"/>
          <w:lang w:eastAsia="x-none"/>
        </w:rPr>
      </w:pPr>
      <w:bookmarkStart w:id="8" w:name="_Hlk111104583"/>
      <w:r>
        <w:rPr>
          <w:b/>
          <w:bCs/>
          <w:sz w:val="24"/>
          <w:szCs w:val="24"/>
          <w:lang w:eastAsia="x-none"/>
        </w:rPr>
        <w:t xml:space="preserve">Proposal </w:t>
      </w:r>
      <w:r w:rsidR="00FF14A1">
        <w:rPr>
          <w:b/>
          <w:bCs/>
          <w:sz w:val="24"/>
          <w:szCs w:val="24"/>
          <w:lang w:eastAsia="x-none"/>
        </w:rPr>
        <w:t>4</w:t>
      </w:r>
      <w:r w:rsidRPr="005C6EA8">
        <w:rPr>
          <w:b/>
          <w:bCs/>
          <w:sz w:val="24"/>
          <w:szCs w:val="24"/>
          <w:lang w:eastAsia="x-none"/>
        </w:rPr>
        <w:t xml:space="preserve">: </w:t>
      </w:r>
      <w:r>
        <w:rPr>
          <w:b/>
          <w:bCs/>
          <w:sz w:val="24"/>
          <w:szCs w:val="24"/>
          <w:lang w:eastAsia="x-none"/>
        </w:rPr>
        <w:t xml:space="preserve">RAN1 </w:t>
      </w:r>
      <w:r w:rsidR="00AB58CA">
        <w:rPr>
          <w:b/>
          <w:bCs/>
          <w:sz w:val="24"/>
          <w:szCs w:val="24"/>
          <w:lang w:eastAsia="x-none"/>
        </w:rPr>
        <w:t>should</w:t>
      </w:r>
      <w:r>
        <w:rPr>
          <w:b/>
          <w:bCs/>
          <w:sz w:val="24"/>
          <w:szCs w:val="24"/>
          <w:lang w:eastAsia="x-none"/>
        </w:rPr>
        <w:t xml:space="preserve"> review </w:t>
      </w:r>
      <w:r w:rsidRPr="00F74ECD">
        <w:rPr>
          <w:b/>
          <w:bCs/>
          <w:sz w:val="24"/>
          <w:szCs w:val="24"/>
          <w:lang w:eastAsia="x-none"/>
        </w:rPr>
        <w:t>whether unlicensed spectrum can be considered</w:t>
      </w:r>
      <w:r>
        <w:rPr>
          <w:b/>
          <w:bCs/>
          <w:sz w:val="24"/>
          <w:szCs w:val="24"/>
          <w:lang w:eastAsia="x-none"/>
        </w:rPr>
        <w:t xml:space="preserve"> for SL positioning and prepare a conclusion for RAN#97</w:t>
      </w:r>
    </w:p>
    <w:bookmarkEnd w:id="8"/>
    <w:p w14:paraId="62CEA876" w14:textId="680649A0" w:rsidR="00C65B8D" w:rsidRDefault="008D7262" w:rsidP="00753B04">
      <w:pPr>
        <w:pStyle w:val="berschrift1"/>
        <w:jc w:val="both"/>
        <w:rPr>
          <w:rFonts w:ascii="Times New Roman" w:hAnsi="Times New Roman"/>
          <w:b/>
          <w:sz w:val="32"/>
          <w:lang w:eastAsia="ja-JP"/>
        </w:rPr>
      </w:pPr>
      <w:r w:rsidRPr="00366E0C">
        <w:rPr>
          <w:rFonts w:ascii="Times New Roman" w:hAnsi="Times New Roman"/>
          <w:b/>
          <w:sz w:val="32"/>
          <w:lang w:eastAsia="ja-JP"/>
        </w:rPr>
        <w:t>Conclusion</w:t>
      </w:r>
    </w:p>
    <w:p w14:paraId="1FA1C097" w14:textId="3385F543" w:rsidR="001837C4" w:rsidRDefault="001837C4" w:rsidP="001837C4">
      <w:pPr>
        <w:spacing w:after="100" w:afterAutospacing="1"/>
        <w:rPr>
          <w:b/>
          <w:bCs/>
          <w:sz w:val="24"/>
          <w:szCs w:val="24"/>
          <w:lang w:eastAsia="x-none"/>
        </w:rPr>
      </w:pPr>
      <w:r>
        <w:rPr>
          <w:b/>
          <w:bCs/>
          <w:sz w:val="24"/>
          <w:szCs w:val="24"/>
          <w:lang w:eastAsia="x-none"/>
        </w:rPr>
        <w:t>In this TDoc, the following observations have been identified:</w:t>
      </w:r>
    </w:p>
    <w:p w14:paraId="196F2B78" w14:textId="174DD2EE" w:rsidR="00A74A95" w:rsidRPr="005C6EA8" w:rsidRDefault="00A74A95" w:rsidP="001837C4">
      <w:pPr>
        <w:spacing w:after="100" w:afterAutospacing="1"/>
        <w:rPr>
          <w:b/>
          <w:bCs/>
          <w:sz w:val="24"/>
          <w:szCs w:val="24"/>
          <w:lang w:eastAsia="x-none"/>
        </w:rPr>
      </w:pPr>
      <w:r w:rsidRPr="005C6EA8">
        <w:rPr>
          <w:b/>
          <w:bCs/>
          <w:sz w:val="24"/>
          <w:szCs w:val="24"/>
          <w:lang w:eastAsia="x-none"/>
        </w:rPr>
        <w:t xml:space="preserve">Observation 1: </w:t>
      </w:r>
      <w:r>
        <w:rPr>
          <w:b/>
          <w:bCs/>
          <w:sz w:val="24"/>
          <w:szCs w:val="24"/>
          <w:lang w:eastAsia="x-none"/>
        </w:rPr>
        <w:t>Set B is of integral relevance to enable autonomous driving use cases and protection of vulnerable road user (VRU).</w:t>
      </w:r>
    </w:p>
    <w:p w14:paraId="6E4ED4BF" w14:textId="77777777" w:rsidR="00FF14A1" w:rsidRDefault="00FF14A1" w:rsidP="00FF14A1">
      <w:pPr>
        <w:spacing w:after="0"/>
        <w:rPr>
          <w:b/>
          <w:bCs/>
          <w:sz w:val="24"/>
          <w:szCs w:val="24"/>
          <w:lang w:eastAsia="x-none"/>
        </w:rPr>
      </w:pPr>
      <w:r w:rsidRPr="005C6EA8">
        <w:rPr>
          <w:b/>
          <w:bCs/>
          <w:sz w:val="24"/>
          <w:szCs w:val="24"/>
          <w:lang w:eastAsia="x-none"/>
        </w:rPr>
        <w:t xml:space="preserve">Observation </w:t>
      </w:r>
      <w:r>
        <w:rPr>
          <w:b/>
          <w:bCs/>
          <w:sz w:val="24"/>
          <w:szCs w:val="24"/>
          <w:lang w:eastAsia="x-none"/>
        </w:rPr>
        <w:t>2</w:t>
      </w:r>
      <w:r w:rsidRPr="005C6EA8">
        <w:rPr>
          <w:b/>
          <w:bCs/>
          <w:sz w:val="24"/>
          <w:szCs w:val="24"/>
          <w:lang w:eastAsia="x-none"/>
        </w:rPr>
        <w:t xml:space="preserve">: </w:t>
      </w:r>
      <w:r>
        <w:rPr>
          <w:b/>
          <w:bCs/>
          <w:sz w:val="24"/>
          <w:szCs w:val="24"/>
          <w:lang w:eastAsia="x-none"/>
        </w:rPr>
        <w:t>The ITS spectrum in Europe has a bandwidth of 40 MHz for safety related ITS services</w:t>
      </w:r>
      <w:r w:rsidRPr="00E33C6D">
        <w:rPr>
          <w:b/>
          <w:bCs/>
          <w:sz w:val="24"/>
          <w:szCs w:val="24"/>
          <w:lang w:eastAsia="x-none"/>
        </w:rPr>
        <w:t>, prioritizing road-ITS</w:t>
      </w:r>
      <w:r>
        <w:rPr>
          <w:b/>
          <w:bCs/>
          <w:sz w:val="24"/>
          <w:szCs w:val="24"/>
          <w:lang w:eastAsia="x-none"/>
        </w:rPr>
        <w:t xml:space="preserve"> but the channel bandwidth is restricted to 10 MHz.</w:t>
      </w:r>
    </w:p>
    <w:p w14:paraId="374D9AFE" w14:textId="77777777" w:rsidR="00FF14A1" w:rsidRDefault="00FF14A1" w:rsidP="00FF14A1">
      <w:pPr>
        <w:spacing w:after="0"/>
        <w:rPr>
          <w:b/>
          <w:bCs/>
          <w:sz w:val="24"/>
          <w:szCs w:val="24"/>
          <w:lang w:eastAsia="x-none"/>
        </w:rPr>
      </w:pPr>
    </w:p>
    <w:p w14:paraId="32D06669" w14:textId="617DEF2E" w:rsidR="00FF14A1" w:rsidRDefault="00FF14A1" w:rsidP="00FF14A1">
      <w:pPr>
        <w:spacing w:after="0"/>
        <w:rPr>
          <w:sz w:val="22"/>
          <w:szCs w:val="22"/>
        </w:rPr>
      </w:pPr>
      <w:r w:rsidRPr="005C6EA8">
        <w:rPr>
          <w:b/>
          <w:bCs/>
          <w:sz w:val="24"/>
          <w:szCs w:val="24"/>
          <w:lang w:eastAsia="x-none"/>
        </w:rPr>
        <w:t xml:space="preserve">Observation </w:t>
      </w:r>
      <w:r>
        <w:rPr>
          <w:b/>
          <w:bCs/>
          <w:sz w:val="24"/>
          <w:szCs w:val="24"/>
          <w:lang w:eastAsia="x-none"/>
        </w:rPr>
        <w:t>3</w:t>
      </w:r>
      <w:r w:rsidRPr="005C6EA8">
        <w:rPr>
          <w:b/>
          <w:bCs/>
          <w:sz w:val="24"/>
          <w:szCs w:val="24"/>
          <w:lang w:eastAsia="x-none"/>
        </w:rPr>
        <w:t xml:space="preserve">: </w:t>
      </w:r>
      <w:r>
        <w:rPr>
          <w:b/>
          <w:bCs/>
          <w:sz w:val="24"/>
          <w:szCs w:val="24"/>
          <w:lang w:eastAsia="x-none"/>
        </w:rPr>
        <w:t>The ITS spectrum in the US has a bandwidth of 30 MHz.</w:t>
      </w:r>
    </w:p>
    <w:p w14:paraId="260C0BCE" w14:textId="77777777" w:rsidR="00FF14A1" w:rsidRDefault="00FF14A1" w:rsidP="00FF14A1">
      <w:pPr>
        <w:spacing w:after="0"/>
        <w:rPr>
          <w:b/>
          <w:bCs/>
          <w:sz w:val="24"/>
          <w:szCs w:val="24"/>
          <w:lang w:eastAsia="x-none"/>
        </w:rPr>
      </w:pPr>
    </w:p>
    <w:p w14:paraId="1E8E951D" w14:textId="373FCF9A" w:rsidR="00FF14A1" w:rsidRPr="005C6EA8" w:rsidRDefault="00FF14A1" w:rsidP="00FF14A1">
      <w:pPr>
        <w:spacing w:after="0"/>
        <w:rPr>
          <w:b/>
          <w:bCs/>
          <w:sz w:val="24"/>
          <w:szCs w:val="24"/>
          <w:lang w:eastAsia="x-none"/>
        </w:rPr>
      </w:pPr>
      <w:r w:rsidRPr="005C6EA8">
        <w:rPr>
          <w:b/>
          <w:bCs/>
          <w:sz w:val="24"/>
          <w:szCs w:val="24"/>
          <w:lang w:eastAsia="x-none"/>
        </w:rPr>
        <w:t xml:space="preserve">Observation </w:t>
      </w:r>
      <w:r>
        <w:rPr>
          <w:b/>
          <w:bCs/>
          <w:sz w:val="24"/>
          <w:szCs w:val="24"/>
          <w:lang w:eastAsia="x-none"/>
        </w:rPr>
        <w:t>4</w:t>
      </w:r>
      <w:r w:rsidRPr="005C6EA8">
        <w:rPr>
          <w:b/>
          <w:bCs/>
          <w:sz w:val="24"/>
          <w:szCs w:val="24"/>
          <w:lang w:eastAsia="x-none"/>
        </w:rPr>
        <w:t xml:space="preserve">: </w:t>
      </w:r>
      <w:r>
        <w:rPr>
          <w:b/>
          <w:bCs/>
          <w:sz w:val="24"/>
          <w:szCs w:val="24"/>
          <w:lang w:eastAsia="x-none"/>
        </w:rPr>
        <w:t>The ITS spectrum in China has a bandwidth of 20 MHz with two channels of 10 MHz bandwidth each.</w:t>
      </w:r>
    </w:p>
    <w:p w14:paraId="6F81DE4D" w14:textId="77777777" w:rsidR="00FF14A1" w:rsidRDefault="00FF14A1" w:rsidP="009A27AD">
      <w:pPr>
        <w:spacing w:after="0"/>
        <w:rPr>
          <w:b/>
          <w:bCs/>
          <w:sz w:val="24"/>
          <w:szCs w:val="24"/>
          <w:lang w:eastAsia="x-none"/>
        </w:rPr>
      </w:pPr>
    </w:p>
    <w:p w14:paraId="188486BB" w14:textId="2E9AA372" w:rsidR="009A27AD" w:rsidRDefault="00FF14A1" w:rsidP="009A27AD">
      <w:pPr>
        <w:spacing w:after="0"/>
        <w:rPr>
          <w:b/>
          <w:bCs/>
          <w:sz w:val="24"/>
          <w:szCs w:val="24"/>
          <w:lang w:eastAsia="x-none"/>
        </w:rPr>
      </w:pPr>
      <w:r w:rsidRPr="005C6EA8">
        <w:rPr>
          <w:b/>
          <w:bCs/>
          <w:sz w:val="24"/>
          <w:szCs w:val="24"/>
          <w:lang w:eastAsia="x-none"/>
        </w:rPr>
        <w:t xml:space="preserve">Observation </w:t>
      </w:r>
      <w:r>
        <w:rPr>
          <w:b/>
          <w:bCs/>
          <w:sz w:val="24"/>
          <w:szCs w:val="24"/>
          <w:lang w:eastAsia="x-none"/>
        </w:rPr>
        <w:t>5</w:t>
      </w:r>
      <w:r w:rsidRPr="005C6EA8">
        <w:rPr>
          <w:b/>
          <w:bCs/>
          <w:sz w:val="24"/>
          <w:szCs w:val="24"/>
          <w:lang w:eastAsia="x-none"/>
        </w:rPr>
        <w:t xml:space="preserve">: </w:t>
      </w:r>
      <w:r>
        <w:rPr>
          <w:b/>
          <w:bCs/>
          <w:sz w:val="24"/>
          <w:szCs w:val="24"/>
          <w:lang w:eastAsia="x-none"/>
        </w:rPr>
        <w:t>According to our regional analysis, the maximum available bandwidth in the dedicated ITS spectrum is always less than 40 MHz.</w:t>
      </w:r>
    </w:p>
    <w:p w14:paraId="2720627B" w14:textId="77777777" w:rsidR="00FF14A1" w:rsidRDefault="00FF14A1" w:rsidP="00FF14A1">
      <w:pPr>
        <w:spacing w:after="0"/>
        <w:rPr>
          <w:b/>
          <w:bCs/>
          <w:sz w:val="24"/>
          <w:szCs w:val="24"/>
          <w:lang w:eastAsia="x-none"/>
        </w:rPr>
      </w:pPr>
    </w:p>
    <w:p w14:paraId="0BE9B95B" w14:textId="643A2EC0" w:rsidR="00FF14A1" w:rsidRDefault="00FF14A1" w:rsidP="00FF14A1">
      <w:pPr>
        <w:spacing w:after="0"/>
        <w:rPr>
          <w:b/>
          <w:bCs/>
          <w:sz w:val="24"/>
          <w:szCs w:val="24"/>
          <w:lang w:eastAsia="x-none"/>
        </w:rPr>
      </w:pPr>
      <w:r w:rsidRPr="005C6EA8">
        <w:rPr>
          <w:b/>
          <w:bCs/>
          <w:sz w:val="24"/>
          <w:szCs w:val="24"/>
          <w:lang w:eastAsia="x-none"/>
        </w:rPr>
        <w:t xml:space="preserve">Observation </w:t>
      </w:r>
      <w:r>
        <w:rPr>
          <w:b/>
          <w:bCs/>
          <w:sz w:val="24"/>
          <w:szCs w:val="24"/>
          <w:lang w:eastAsia="x-none"/>
        </w:rPr>
        <w:t>6</w:t>
      </w:r>
      <w:r w:rsidRPr="005C6EA8">
        <w:rPr>
          <w:b/>
          <w:bCs/>
          <w:sz w:val="24"/>
          <w:szCs w:val="24"/>
          <w:lang w:eastAsia="x-none"/>
        </w:rPr>
        <w:t xml:space="preserve">: </w:t>
      </w:r>
      <w:r>
        <w:rPr>
          <w:b/>
          <w:bCs/>
          <w:sz w:val="24"/>
          <w:szCs w:val="24"/>
          <w:lang w:eastAsia="x-none"/>
        </w:rPr>
        <w:t>RAN1 has started work in RAN1#109e to study sidelink operation in unlicensed spectrum.</w:t>
      </w:r>
    </w:p>
    <w:p w14:paraId="07957658" w14:textId="77777777" w:rsidR="00FF14A1" w:rsidRPr="009A27AD" w:rsidRDefault="00FF14A1" w:rsidP="009A27AD">
      <w:pPr>
        <w:spacing w:after="0"/>
        <w:rPr>
          <w:b/>
          <w:bCs/>
          <w:sz w:val="24"/>
          <w:szCs w:val="24"/>
          <w:lang w:eastAsia="x-none"/>
        </w:rPr>
      </w:pPr>
    </w:p>
    <w:p w14:paraId="065CBE0F" w14:textId="2EF3FCE6" w:rsidR="00743A29" w:rsidRDefault="001837C4" w:rsidP="001837C4">
      <w:pPr>
        <w:spacing w:after="100" w:afterAutospacing="1"/>
        <w:rPr>
          <w:b/>
          <w:bCs/>
          <w:sz w:val="24"/>
          <w:szCs w:val="24"/>
          <w:lang w:eastAsia="x-none"/>
        </w:rPr>
      </w:pPr>
      <w:r>
        <w:rPr>
          <w:b/>
          <w:bCs/>
          <w:sz w:val="24"/>
          <w:szCs w:val="24"/>
          <w:lang w:eastAsia="x-none"/>
        </w:rPr>
        <w:t>In this TDoc, the following proposals have been considered:</w:t>
      </w:r>
    </w:p>
    <w:p w14:paraId="2F03F280" w14:textId="536060A0" w:rsidR="001837C4" w:rsidRPr="005C6EA8" w:rsidRDefault="001837C4" w:rsidP="001837C4">
      <w:pPr>
        <w:spacing w:after="100" w:afterAutospacing="1"/>
        <w:rPr>
          <w:b/>
          <w:bCs/>
          <w:sz w:val="24"/>
          <w:szCs w:val="24"/>
          <w:lang w:eastAsia="x-none"/>
        </w:rPr>
      </w:pPr>
      <w:r>
        <w:rPr>
          <w:b/>
          <w:bCs/>
          <w:sz w:val="24"/>
          <w:szCs w:val="24"/>
          <w:lang w:eastAsia="x-none"/>
        </w:rPr>
        <w:t>Proposal 1: Confirm the working assumption on</w:t>
      </w:r>
      <w:r w:rsidRPr="005D1557">
        <w:rPr>
          <w:b/>
          <w:bCs/>
          <w:sz w:val="24"/>
          <w:szCs w:val="24"/>
          <w:lang w:eastAsia="x-none"/>
        </w:rPr>
        <w:t xml:space="preserve"> SL positioning accuracy requirements </w:t>
      </w:r>
      <w:r>
        <w:rPr>
          <w:b/>
          <w:bCs/>
          <w:sz w:val="24"/>
          <w:szCs w:val="24"/>
          <w:lang w:eastAsia="x-none"/>
        </w:rPr>
        <w:t xml:space="preserve">for evaluation </w:t>
      </w:r>
      <w:r w:rsidRPr="005D1557">
        <w:rPr>
          <w:b/>
          <w:bCs/>
          <w:sz w:val="24"/>
          <w:szCs w:val="24"/>
          <w:lang w:eastAsia="x-none"/>
        </w:rPr>
        <w:t>consider</w:t>
      </w:r>
      <w:r>
        <w:rPr>
          <w:b/>
          <w:bCs/>
          <w:sz w:val="24"/>
          <w:szCs w:val="24"/>
          <w:lang w:eastAsia="x-none"/>
        </w:rPr>
        <w:t>ing at least set B</w:t>
      </w:r>
    </w:p>
    <w:p w14:paraId="11F92894" w14:textId="77777777" w:rsidR="00FF14A1" w:rsidRDefault="00FF14A1" w:rsidP="00FF14A1">
      <w:pPr>
        <w:spacing w:after="0"/>
        <w:rPr>
          <w:b/>
          <w:bCs/>
          <w:sz w:val="24"/>
          <w:szCs w:val="24"/>
          <w:lang w:eastAsia="x-none"/>
        </w:rPr>
      </w:pPr>
      <w:r>
        <w:rPr>
          <w:b/>
          <w:bCs/>
          <w:sz w:val="24"/>
          <w:szCs w:val="24"/>
          <w:lang w:eastAsia="x-none"/>
        </w:rPr>
        <w:t>Proposal 2</w:t>
      </w:r>
      <w:r w:rsidRPr="005C6EA8">
        <w:rPr>
          <w:b/>
          <w:bCs/>
          <w:sz w:val="24"/>
          <w:szCs w:val="24"/>
          <w:lang w:eastAsia="x-none"/>
        </w:rPr>
        <w:t xml:space="preserve">: </w:t>
      </w:r>
      <w:r>
        <w:rPr>
          <w:b/>
          <w:bCs/>
          <w:sz w:val="24"/>
          <w:szCs w:val="24"/>
          <w:lang w:eastAsia="x-none"/>
        </w:rPr>
        <w:t xml:space="preserve">For sidelink </w:t>
      </w:r>
      <w:r w:rsidRPr="00816B1B">
        <w:rPr>
          <w:b/>
          <w:bCs/>
          <w:sz w:val="24"/>
          <w:szCs w:val="24"/>
          <w:lang w:eastAsia="x-none"/>
        </w:rPr>
        <w:t xml:space="preserve">positioning </w:t>
      </w:r>
      <w:r w:rsidRPr="009A27AD">
        <w:rPr>
          <w:b/>
          <w:bCs/>
          <w:sz w:val="24"/>
          <w:szCs w:val="24"/>
          <w:lang w:eastAsia="x-none"/>
        </w:rPr>
        <w:t xml:space="preserve">in </w:t>
      </w:r>
      <w:r>
        <w:rPr>
          <w:b/>
          <w:bCs/>
          <w:sz w:val="24"/>
          <w:szCs w:val="24"/>
          <w:lang w:eastAsia="x-none"/>
        </w:rPr>
        <w:t xml:space="preserve">dedicated ITS spectrum (including band n47) consider a bandwidth smaller than (and not including) 40 MHz. </w:t>
      </w:r>
    </w:p>
    <w:p w14:paraId="6EB98AD2" w14:textId="77777777" w:rsidR="00FF14A1" w:rsidRDefault="00FF14A1" w:rsidP="00FF14A1">
      <w:pPr>
        <w:spacing w:after="0"/>
        <w:rPr>
          <w:b/>
          <w:bCs/>
          <w:sz w:val="24"/>
          <w:szCs w:val="24"/>
          <w:lang w:eastAsia="x-none"/>
        </w:rPr>
      </w:pPr>
    </w:p>
    <w:p w14:paraId="5F0F9FE2" w14:textId="77777777" w:rsidR="00FF14A1" w:rsidRDefault="00FF14A1" w:rsidP="00FF14A1">
      <w:pPr>
        <w:spacing w:after="0"/>
        <w:rPr>
          <w:b/>
          <w:bCs/>
          <w:sz w:val="24"/>
          <w:szCs w:val="24"/>
          <w:lang w:eastAsia="x-none"/>
        </w:rPr>
      </w:pPr>
      <w:r>
        <w:rPr>
          <w:b/>
          <w:bCs/>
          <w:sz w:val="24"/>
          <w:szCs w:val="24"/>
          <w:lang w:eastAsia="x-none"/>
        </w:rPr>
        <w:t>Proposal 3</w:t>
      </w:r>
      <w:r w:rsidRPr="005C6EA8">
        <w:rPr>
          <w:b/>
          <w:bCs/>
          <w:sz w:val="24"/>
          <w:szCs w:val="24"/>
          <w:lang w:eastAsia="x-none"/>
        </w:rPr>
        <w:t xml:space="preserve">: </w:t>
      </w:r>
      <w:r>
        <w:rPr>
          <w:b/>
          <w:bCs/>
          <w:sz w:val="24"/>
          <w:szCs w:val="24"/>
          <w:lang w:eastAsia="x-none"/>
        </w:rPr>
        <w:t>To fulfil the sidelink positioning requirements of V2X use cases in terms of bandwidth, investigations should not be limited by bandwidth restrictions in the ITS band.</w:t>
      </w:r>
    </w:p>
    <w:p w14:paraId="479CB2A3" w14:textId="77777777" w:rsidR="00FF14A1" w:rsidRDefault="00FF14A1" w:rsidP="00FF14A1">
      <w:pPr>
        <w:spacing w:after="0"/>
        <w:rPr>
          <w:b/>
          <w:bCs/>
          <w:sz w:val="24"/>
          <w:szCs w:val="24"/>
          <w:lang w:eastAsia="x-none"/>
        </w:rPr>
      </w:pPr>
    </w:p>
    <w:p w14:paraId="5DA36116" w14:textId="267B9F1E" w:rsidR="00FF14A1" w:rsidRDefault="00FF14A1" w:rsidP="00FF14A1">
      <w:pPr>
        <w:spacing w:after="0"/>
        <w:rPr>
          <w:b/>
          <w:bCs/>
          <w:sz w:val="24"/>
          <w:szCs w:val="24"/>
          <w:lang w:eastAsia="x-none"/>
        </w:rPr>
      </w:pPr>
      <w:r>
        <w:rPr>
          <w:b/>
          <w:bCs/>
          <w:sz w:val="24"/>
          <w:szCs w:val="24"/>
          <w:lang w:eastAsia="x-none"/>
        </w:rPr>
        <w:t>Proposal 4</w:t>
      </w:r>
      <w:r w:rsidRPr="005C6EA8">
        <w:rPr>
          <w:b/>
          <w:bCs/>
          <w:sz w:val="24"/>
          <w:szCs w:val="24"/>
          <w:lang w:eastAsia="x-none"/>
        </w:rPr>
        <w:t xml:space="preserve">: </w:t>
      </w:r>
      <w:r>
        <w:rPr>
          <w:b/>
          <w:bCs/>
          <w:sz w:val="24"/>
          <w:szCs w:val="24"/>
          <w:lang w:eastAsia="x-none"/>
        </w:rPr>
        <w:t xml:space="preserve">RAN1 </w:t>
      </w:r>
      <w:r w:rsidR="00AB58CA">
        <w:rPr>
          <w:b/>
          <w:bCs/>
          <w:sz w:val="24"/>
          <w:szCs w:val="24"/>
          <w:lang w:eastAsia="x-none"/>
        </w:rPr>
        <w:t>should</w:t>
      </w:r>
      <w:r>
        <w:rPr>
          <w:b/>
          <w:bCs/>
          <w:sz w:val="24"/>
          <w:szCs w:val="24"/>
          <w:lang w:eastAsia="x-none"/>
        </w:rPr>
        <w:t xml:space="preserve"> review </w:t>
      </w:r>
      <w:r w:rsidRPr="00F74ECD">
        <w:rPr>
          <w:b/>
          <w:bCs/>
          <w:sz w:val="24"/>
          <w:szCs w:val="24"/>
          <w:lang w:eastAsia="x-none"/>
        </w:rPr>
        <w:t>whether unlicensed spectrum can be considered</w:t>
      </w:r>
      <w:r>
        <w:rPr>
          <w:b/>
          <w:bCs/>
          <w:sz w:val="24"/>
          <w:szCs w:val="24"/>
          <w:lang w:eastAsia="x-none"/>
        </w:rPr>
        <w:t xml:space="preserve"> for SL positioning and prepare a conclusion for RAN#97</w:t>
      </w:r>
    </w:p>
    <w:p w14:paraId="13FD0E1F" w14:textId="77777777" w:rsidR="009A27AD" w:rsidRDefault="009A27AD" w:rsidP="00B85850">
      <w:pPr>
        <w:spacing w:after="0"/>
        <w:rPr>
          <w:b/>
          <w:bCs/>
          <w:sz w:val="24"/>
          <w:szCs w:val="24"/>
          <w:lang w:eastAsia="x-none"/>
        </w:rPr>
      </w:pPr>
    </w:p>
    <w:p w14:paraId="6BDEAC1C" w14:textId="77777777" w:rsidR="00A74A95" w:rsidRPr="005C6EA8" w:rsidRDefault="00A74A95" w:rsidP="00A74A95">
      <w:pPr>
        <w:spacing w:after="0"/>
        <w:rPr>
          <w:b/>
          <w:bCs/>
          <w:sz w:val="24"/>
          <w:szCs w:val="24"/>
          <w:lang w:eastAsia="x-none"/>
        </w:rPr>
      </w:pPr>
    </w:p>
    <w:p w14:paraId="1E39E335" w14:textId="6D765284" w:rsidR="00C65B8D" w:rsidRPr="00366E0C" w:rsidRDefault="00753B04" w:rsidP="00753B04">
      <w:pPr>
        <w:pStyle w:val="berschrift1"/>
        <w:jc w:val="both"/>
        <w:rPr>
          <w:rFonts w:ascii="Times New Roman" w:hAnsi="Times New Roman"/>
          <w:b/>
          <w:sz w:val="32"/>
          <w:lang w:eastAsia="ja-JP"/>
        </w:rPr>
      </w:pPr>
      <w:bookmarkStart w:id="9" w:name="_Ref55091672"/>
      <w:r w:rsidRPr="00366E0C">
        <w:rPr>
          <w:rFonts w:ascii="Times New Roman" w:hAnsi="Times New Roman"/>
          <w:lang w:val="en-US"/>
        </w:rPr>
        <w:tab/>
      </w:r>
      <w:bookmarkEnd w:id="9"/>
      <w:r w:rsidR="007432D4">
        <w:rPr>
          <w:rFonts w:ascii="Times New Roman" w:hAnsi="Times New Roman"/>
          <w:b/>
          <w:sz w:val="32"/>
          <w:lang w:eastAsia="ja-JP"/>
        </w:rPr>
        <w:t>References</w:t>
      </w:r>
    </w:p>
    <w:p w14:paraId="60FD8BF9" w14:textId="66649B11" w:rsidR="008759D6" w:rsidRPr="008759D6" w:rsidRDefault="008759D6" w:rsidP="005D1557">
      <w:pPr>
        <w:spacing w:after="0"/>
        <w:ind w:left="708" w:hangingChars="322" w:hanging="708"/>
        <w:jc w:val="both"/>
        <w:rPr>
          <w:sz w:val="22"/>
          <w:lang w:eastAsia="ja-JP"/>
        </w:rPr>
      </w:pPr>
      <w:r w:rsidRPr="008759D6">
        <w:rPr>
          <w:sz w:val="22"/>
          <w:lang w:eastAsia="ja-JP"/>
        </w:rPr>
        <w:t>[1]</w:t>
      </w:r>
      <w:r>
        <w:rPr>
          <w:sz w:val="22"/>
          <w:lang w:eastAsia="ja-JP"/>
        </w:rPr>
        <w:tab/>
      </w:r>
      <w:r w:rsidR="00734166">
        <w:rPr>
          <w:sz w:val="22"/>
          <w:lang w:eastAsia="ja-JP"/>
        </w:rPr>
        <w:t>RP-212706, “</w:t>
      </w:r>
      <w:r w:rsidR="00734166" w:rsidRPr="00601DA6">
        <w:rPr>
          <w:sz w:val="22"/>
          <w:lang w:eastAsia="ja-JP"/>
        </w:rPr>
        <w:t>New WI: Further NR positioning enhancements</w:t>
      </w:r>
      <w:r w:rsidR="00734166">
        <w:rPr>
          <w:sz w:val="22"/>
          <w:lang w:eastAsia="ja-JP"/>
        </w:rPr>
        <w:t xml:space="preserve">,” TSG </w:t>
      </w:r>
      <w:r w:rsidR="00734166" w:rsidRPr="0017202A">
        <w:rPr>
          <w:sz w:val="22"/>
          <w:lang w:eastAsia="ja-JP"/>
        </w:rPr>
        <w:t>RAN</w:t>
      </w:r>
      <w:r w:rsidR="00734166">
        <w:rPr>
          <w:sz w:val="22"/>
          <w:lang w:eastAsia="ja-JP"/>
        </w:rPr>
        <w:t xml:space="preserve"> Meeting #94-e, Source: Intel</w:t>
      </w:r>
    </w:p>
    <w:p w14:paraId="73C60335" w14:textId="018BDE4A" w:rsidR="008759D6" w:rsidRPr="008759D6" w:rsidRDefault="008759D6" w:rsidP="005D1557">
      <w:pPr>
        <w:spacing w:after="0"/>
        <w:ind w:left="709" w:hanging="709"/>
        <w:jc w:val="both"/>
        <w:rPr>
          <w:sz w:val="22"/>
          <w:lang w:eastAsia="ja-JP"/>
        </w:rPr>
      </w:pPr>
      <w:r w:rsidRPr="008759D6">
        <w:rPr>
          <w:sz w:val="22"/>
          <w:lang w:eastAsia="ja-JP"/>
        </w:rPr>
        <w:t>[2]</w:t>
      </w:r>
      <w:r w:rsidR="00A74A95">
        <w:rPr>
          <w:sz w:val="22"/>
          <w:lang w:eastAsia="ja-JP"/>
        </w:rPr>
        <w:t xml:space="preserve"> </w:t>
      </w:r>
      <w:r w:rsidR="00A74A95">
        <w:rPr>
          <w:sz w:val="22"/>
          <w:lang w:eastAsia="ja-JP"/>
        </w:rPr>
        <w:tab/>
      </w:r>
      <w:r w:rsidR="00E96C83">
        <w:rPr>
          <w:sz w:val="22"/>
          <w:lang w:eastAsia="ja-JP"/>
        </w:rPr>
        <w:t>R1-</w:t>
      </w:r>
      <w:r w:rsidR="00E96C83" w:rsidRPr="003F0692">
        <w:t xml:space="preserve"> </w:t>
      </w:r>
      <w:r w:rsidR="00E96C83" w:rsidRPr="003F0692">
        <w:rPr>
          <w:sz w:val="22"/>
          <w:lang w:eastAsia="ja-JP"/>
        </w:rPr>
        <w:t>2205574</w:t>
      </w:r>
      <w:r w:rsidR="00E96C83">
        <w:rPr>
          <w:sz w:val="22"/>
          <w:lang w:eastAsia="ja-JP"/>
        </w:rPr>
        <w:t>, “</w:t>
      </w:r>
      <w:r w:rsidR="00E96C83" w:rsidRPr="00576C27">
        <w:rPr>
          <w:sz w:val="22"/>
          <w:lang w:eastAsia="ja-JP"/>
        </w:rPr>
        <w:t>Session notes for 9.5 (Study on expanded and improved NR positioning)</w:t>
      </w:r>
      <w:r w:rsidR="00E96C83">
        <w:rPr>
          <w:sz w:val="22"/>
          <w:lang w:eastAsia="ja-JP"/>
        </w:rPr>
        <w:t xml:space="preserve">”, </w:t>
      </w:r>
      <w:r w:rsidR="00E96C83" w:rsidRPr="0017202A">
        <w:rPr>
          <w:sz w:val="22"/>
          <w:lang w:eastAsia="ja-JP"/>
        </w:rPr>
        <w:t>RAN</w:t>
      </w:r>
      <w:r w:rsidR="00E96C83">
        <w:rPr>
          <w:sz w:val="22"/>
          <w:lang w:eastAsia="ja-JP"/>
        </w:rPr>
        <w:t xml:space="preserve">1   Meeting #96, Source: </w:t>
      </w:r>
      <w:r w:rsidR="00E96C83" w:rsidRPr="00D2125B">
        <w:rPr>
          <w:sz w:val="22"/>
          <w:lang w:eastAsia="ja-JP"/>
        </w:rPr>
        <w:t>Ad-Hoc Chair (Huawei)</w:t>
      </w:r>
    </w:p>
    <w:p w14:paraId="7E1EB9DC" w14:textId="5C5CCB79" w:rsidR="002641FA" w:rsidRDefault="008759D6" w:rsidP="005D1557">
      <w:pPr>
        <w:spacing w:after="0"/>
        <w:ind w:left="708" w:hangingChars="322" w:hanging="708"/>
        <w:jc w:val="both"/>
        <w:rPr>
          <w:sz w:val="22"/>
          <w:lang w:eastAsia="ja-JP"/>
        </w:rPr>
      </w:pPr>
      <w:r w:rsidRPr="008759D6">
        <w:rPr>
          <w:sz w:val="22"/>
          <w:lang w:eastAsia="ja-JP"/>
        </w:rPr>
        <w:t>[</w:t>
      </w:r>
      <w:r w:rsidR="00970FDC">
        <w:rPr>
          <w:sz w:val="22"/>
          <w:lang w:eastAsia="ja-JP"/>
        </w:rPr>
        <w:t>3</w:t>
      </w:r>
      <w:r w:rsidRPr="008759D6">
        <w:rPr>
          <w:sz w:val="22"/>
          <w:lang w:eastAsia="ja-JP"/>
        </w:rPr>
        <w:t>]</w:t>
      </w:r>
      <w:r w:rsidRPr="008759D6">
        <w:rPr>
          <w:sz w:val="22"/>
          <w:lang w:eastAsia="ja-JP"/>
        </w:rPr>
        <w:tab/>
      </w:r>
      <w:r w:rsidR="00E96C83" w:rsidRPr="00E96C83">
        <w:rPr>
          <w:sz w:val="22"/>
          <w:lang w:eastAsia="ja-JP"/>
        </w:rPr>
        <w:t>European Electronics Communications Committee, “ECC Recommendation (08) 01 on the use of the band</w:t>
      </w:r>
      <w:r w:rsidR="00E96C83">
        <w:rPr>
          <w:sz w:val="22"/>
          <w:lang w:eastAsia="ja-JP"/>
        </w:rPr>
        <w:t xml:space="preserve"> </w:t>
      </w:r>
      <w:r w:rsidR="00E96C83" w:rsidRPr="00E96C83">
        <w:rPr>
          <w:sz w:val="22"/>
          <w:lang w:eastAsia="ja-JP"/>
        </w:rPr>
        <w:t>5855-5875 MHz for Intelligent Transport Systems (ITS),” March 2020,</w:t>
      </w:r>
      <w:r w:rsidR="00E96C83">
        <w:rPr>
          <w:sz w:val="22"/>
          <w:lang w:eastAsia="ja-JP"/>
        </w:rPr>
        <w:t xml:space="preserve"> </w:t>
      </w:r>
      <w:r w:rsidR="00E96C83" w:rsidRPr="00E96C83">
        <w:rPr>
          <w:sz w:val="22"/>
          <w:lang w:eastAsia="ja-JP"/>
        </w:rPr>
        <w:t>https://docdb.cept.org/download/798c1836-20c6/REC0801.pdf.</w:t>
      </w:r>
    </w:p>
    <w:p w14:paraId="48034125" w14:textId="0BBF0665" w:rsidR="00601DA6" w:rsidRDefault="00601DA6" w:rsidP="005D1557">
      <w:pPr>
        <w:spacing w:after="0"/>
        <w:ind w:left="708" w:hangingChars="322" w:hanging="708"/>
        <w:jc w:val="both"/>
        <w:rPr>
          <w:sz w:val="22"/>
          <w:lang w:eastAsia="ja-JP"/>
        </w:rPr>
      </w:pPr>
      <w:r>
        <w:rPr>
          <w:sz w:val="22"/>
          <w:lang w:eastAsia="ja-JP"/>
        </w:rPr>
        <w:lastRenderedPageBreak/>
        <w:t>[4]</w:t>
      </w:r>
      <w:r>
        <w:rPr>
          <w:sz w:val="22"/>
          <w:lang w:eastAsia="ja-JP"/>
        </w:rPr>
        <w:tab/>
      </w:r>
      <w:r w:rsidR="00E96C83" w:rsidRPr="00E96C83">
        <w:rPr>
          <w:sz w:val="22"/>
          <w:lang w:eastAsia="ja-JP"/>
        </w:rPr>
        <w:t>European Electronics Communications Committee, “ECC Decision (08) 01on the harmonised use of Safety-Related Intelligent Transport Systems (ITS) in the 5875-5935 MHz frequency band,” March 2020, https://docdb.cept.org/download/b470d271-048b/ECCDEC0801.PDF.</w:t>
      </w:r>
    </w:p>
    <w:p w14:paraId="768D4C00" w14:textId="408C41DF" w:rsidR="009C5D5D" w:rsidRPr="009C5D5D" w:rsidRDefault="0023193B" w:rsidP="005D1557">
      <w:pPr>
        <w:spacing w:after="0"/>
        <w:ind w:left="709" w:hanging="709"/>
        <w:rPr>
          <w:sz w:val="22"/>
          <w:szCs w:val="22"/>
        </w:rPr>
      </w:pPr>
      <w:r>
        <w:rPr>
          <w:sz w:val="22"/>
          <w:lang w:eastAsia="ja-JP"/>
        </w:rPr>
        <w:t>[5]</w:t>
      </w:r>
      <w:r>
        <w:rPr>
          <w:sz w:val="22"/>
          <w:lang w:eastAsia="ja-JP"/>
        </w:rPr>
        <w:tab/>
      </w:r>
      <w:r w:rsidR="009C5D5D" w:rsidRPr="009C5D5D">
        <w:rPr>
          <w:sz w:val="22"/>
          <w:szCs w:val="22"/>
        </w:rPr>
        <w:t>Federal Communications Commission, “Use of the 5.850–5.925 GHz Band”</w:t>
      </w:r>
      <w:r w:rsidR="009C5D5D">
        <w:rPr>
          <w:sz w:val="22"/>
          <w:szCs w:val="22"/>
        </w:rPr>
        <w:t>,</w:t>
      </w:r>
      <w:r w:rsidR="009C5D5D" w:rsidRPr="009C5D5D">
        <w:rPr>
          <w:sz w:val="22"/>
          <w:szCs w:val="22"/>
        </w:rPr>
        <w:t xml:space="preserve"> </w:t>
      </w:r>
      <w:r w:rsidR="009C5D5D">
        <w:rPr>
          <w:sz w:val="22"/>
          <w:szCs w:val="22"/>
        </w:rPr>
        <w:t>May</w:t>
      </w:r>
      <w:r w:rsidR="009C5D5D" w:rsidRPr="009C5D5D">
        <w:rPr>
          <w:sz w:val="22"/>
          <w:szCs w:val="22"/>
        </w:rPr>
        <w:t xml:space="preserve"> 202</w:t>
      </w:r>
      <w:r w:rsidR="009C5D5D">
        <w:rPr>
          <w:sz w:val="22"/>
          <w:szCs w:val="22"/>
        </w:rPr>
        <w:t>1</w:t>
      </w:r>
      <w:r w:rsidR="009C5D5D" w:rsidRPr="009C5D5D">
        <w:rPr>
          <w:sz w:val="22"/>
          <w:szCs w:val="22"/>
        </w:rPr>
        <w:t>.</w:t>
      </w:r>
      <w:r w:rsidR="009C5D5D">
        <w:rPr>
          <w:sz w:val="22"/>
          <w:szCs w:val="22"/>
        </w:rPr>
        <w:t xml:space="preserve"> </w:t>
      </w:r>
      <w:r w:rsidR="009C5D5D" w:rsidRPr="009C5D5D">
        <w:rPr>
          <w:sz w:val="22"/>
          <w:szCs w:val="22"/>
        </w:rPr>
        <w:t>https://www.federalregister.gov/d/2021-08802</w:t>
      </w:r>
    </w:p>
    <w:p w14:paraId="277A2DA2" w14:textId="18D495FF" w:rsidR="00D2701A" w:rsidRDefault="009C5D5D" w:rsidP="005D1557">
      <w:pPr>
        <w:spacing w:after="0"/>
        <w:ind w:left="708" w:hangingChars="322" w:hanging="708"/>
        <w:jc w:val="both"/>
        <w:rPr>
          <w:sz w:val="22"/>
          <w:lang w:eastAsia="ja-JP"/>
        </w:rPr>
      </w:pPr>
      <w:r>
        <w:rPr>
          <w:sz w:val="22"/>
          <w:lang w:eastAsia="ja-JP"/>
        </w:rPr>
        <w:t>[6]</w:t>
      </w:r>
      <w:r>
        <w:rPr>
          <w:sz w:val="22"/>
          <w:lang w:eastAsia="ja-JP"/>
        </w:rPr>
        <w:tab/>
        <w:t>5GAA, “</w:t>
      </w:r>
      <w:r w:rsidRPr="009C5D5D">
        <w:rPr>
          <w:sz w:val="22"/>
          <w:lang w:eastAsia="ja-JP"/>
        </w:rPr>
        <w:t>Deployment band</w:t>
      </w:r>
      <w:r>
        <w:rPr>
          <w:sz w:val="22"/>
          <w:lang w:eastAsia="ja-JP"/>
        </w:rPr>
        <w:t xml:space="preserve"> </w:t>
      </w:r>
      <w:r w:rsidRPr="009C5D5D">
        <w:rPr>
          <w:sz w:val="22"/>
          <w:lang w:eastAsia="ja-JP"/>
        </w:rPr>
        <w:t>configuration for C-V2X</w:t>
      </w:r>
      <w:r>
        <w:rPr>
          <w:sz w:val="22"/>
          <w:lang w:eastAsia="ja-JP"/>
        </w:rPr>
        <w:t xml:space="preserve"> </w:t>
      </w:r>
      <w:r w:rsidRPr="009C5D5D">
        <w:rPr>
          <w:sz w:val="22"/>
          <w:lang w:eastAsia="ja-JP"/>
        </w:rPr>
        <w:t>at 5.9 GHz in Europe</w:t>
      </w:r>
      <w:r>
        <w:rPr>
          <w:sz w:val="22"/>
          <w:lang w:eastAsia="ja-JP"/>
        </w:rPr>
        <w:t xml:space="preserve">”, June 2021. </w:t>
      </w:r>
      <w:hyperlink r:id="rId9" w:history="1">
        <w:r w:rsidR="005D1557" w:rsidRPr="00F67422">
          <w:rPr>
            <w:rStyle w:val="Hyperlink"/>
            <w:sz w:val="22"/>
            <w:lang w:eastAsia="ja-JP"/>
          </w:rPr>
          <w:t>https://5gaa.org/news/deployment-band-configuration-for-c-v2x-at-5-9-ghz-in-europe/</w:t>
        </w:r>
      </w:hyperlink>
    </w:p>
    <w:p w14:paraId="03C3455C" w14:textId="23760DD4" w:rsidR="00D2701A" w:rsidRDefault="005D1557" w:rsidP="001837C4">
      <w:pPr>
        <w:spacing w:after="0"/>
        <w:ind w:left="708" w:hangingChars="322" w:hanging="708"/>
        <w:jc w:val="both"/>
        <w:rPr>
          <w:sz w:val="22"/>
          <w:lang w:eastAsia="ja-JP"/>
        </w:rPr>
      </w:pPr>
      <w:r>
        <w:rPr>
          <w:sz w:val="22"/>
          <w:lang w:eastAsia="ja-JP"/>
        </w:rPr>
        <w:t>[7]</w:t>
      </w:r>
      <w:r>
        <w:rPr>
          <w:sz w:val="22"/>
          <w:lang w:eastAsia="ja-JP"/>
        </w:rPr>
        <w:tab/>
        <w:t>3GPP TR 38.845, “</w:t>
      </w:r>
      <w:r w:rsidRPr="00601DA6">
        <w:rPr>
          <w:sz w:val="22"/>
          <w:lang w:eastAsia="ja-JP"/>
        </w:rPr>
        <w:t>Study on scenarios and requirements of in-coverage, partial coverage, and out-of-coverage NR positioning use cases</w:t>
      </w:r>
      <w:r>
        <w:rPr>
          <w:sz w:val="22"/>
          <w:lang w:eastAsia="ja-JP"/>
        </w:rPr>
        <w:t>”, Rel-17</w:t>
      </w:r>
    </w:p>
    <w:sectPr w:rsidR="00D2701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40A4" w14:textId="77777777" w:rsidR="00583679" w:rsidRDefault="00583679">
      <w:r>
        <w:separator/>
      </w:r>
    </w:p>
  </w:endnote>
  <w:endnote w:type="continuationSeparator" w:id="0">
    <w:p w14:paraId="24CC045B" w14:textId="77777777" w:rsidR="00583679" w:rsidRDefault="00583679">
      <w:r>
        <w:continuationSeparator/>
      </w:r>
    </w:p>
  </w:endnote>
  <w:endnote w:type="continuationNotice" w:id="1">
    <w:p w14:paraId="61147C54" w14:textId="77777777" w:rsidR="00583679" w:rsidRDefault="00583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1BF32" w14:textId="77777777" w:rsidR="00583679" w:rsidRDefault="00583679">
      <w:r>
        <w:separator/>
      </w:r>
    </w:p>
  </w:footnote>
  <w:footnote w:type="continuationSeparator" w:id="0">
    <w:p w14:paraId="1595EE2B" w14:textId="77777777" w:rsidR="00583679" w:rsidRDefault="00583679">
      <w:r>
        <w:continuationSeparator/>
      </w:r>
    </w:p>
  </w:footnote>
  <w:footnote w:type="continuationNotice" w:id="1">
    <w:p w14:paraId="01CAD366" w14:textId="77777777" w:rsidR="00583679" w:rsidRDefault="00583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5A3DFC"/>
    <w:multiLevelType w:val="hybridMultilevel"/>
    <w:tmpl w:val="76842EE6"/>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0305B"/>
    <w:multiLevelType w:val="hybridMultilevel"/>
    <w:tmpl w:val="9782D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8531AD4"/>
    <w:multiLevelType w:val="hybridMultilevel"/>
    <w:tmpl w:val="9454F8B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7611B05"/>
    <w:multiLevelType w:val="hybridMultilevel"/>
    <w:tmpl w:val="13B8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2244422B"/>
    <w:multiLevelType w:val="hybridMultilevel"/>
    <w:tmpl w:val="5E7E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3A2DDF"/>
    <w:multiLevelType w:val="hybridMultilevel"/>
    <w:tmpl w:val="0CA8C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C0A3C85"/>
    <w:multiLevelType w:val="hybridMultilevel"/>
    <w:tmpl w:val="4418A72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322F75B4"/>
    <w:multiLevelType w:val="hybridMultilevel"/>
    <w:tmpl w:val="96E0ADB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15:restartNumberingAfterBreak="0">
    <w:nsid w:val="3E707EAB"/>
    <w:multiLevelType w:val="hybridMultilevel"/>
    <w:tmpl w:val="7EA872BE"/>
    <w:lvl w:ilvl="0" w:tplc="D2EC46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511FF"/>
    <w:multiLevelType w:val="hybridMultilevel"/>
    <w:tmpl w:val="9856C94E"/>
    <w:lvl w:ilvl="0" w:tplc="DB026D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212C2"/>
    <w:multiLevelType w:val="hybridMultilevel"/>
    <w:tmpl w:val="07E074D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C55060"/>
    <w:multiLevelType w:val="hybridMultilevel"/>
    <w:tmpl w:val="4E72DE0A"/>
    <w:lvl w:ilvl="0" w:tplc="08090001">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AD0AD1B6">
      <w:start w:val="1"/>
      <w:numFmt w:val="bullet"/>
      <w:lvlText w:val=""/>
      <w:lvlJc w:val="left"/>
      <w:pPr>
        <w:ind w:left="2444" w:hanging="360"/>
      </w:pPr>
      <w:rPr>
        <w:rFonts w:ascii="Symbol" w:hAnsi="Symbol" w:hint="default"/>
        <w:color w:val="FF0000"/>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7926B1B"/>
    <w:multiLevelType w:val="hybridMultilevel"/>
    <w:tmpl w:val="63D2EE94"/>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833E1"/>
    <w:multiLevelType w:val="hybridMultilevel"/>
    <w:tmpl w:val="1C183D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FA33A2F"/>
    <w:multiLevelType w:val="multilevel"/>
    <w:tmpl w:val="BAFC0E3C"/>
    <w:lvl w:ilvl="0">
      <w:start w:val="1"/>
      <w:numFmt w:val="decimal"/>
      <w:pStyle w:val="berschrift1"/>
      <w:lvlText w:val="%1"/>
      <w:lvlJc w:val="left"/>
      <w:pPr>
        <w:ind w:left="432" w:hanging="432"/>
      </w:pPr>
      <w:rPr>
        <w:lang w:val="en-US"/>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lang w:val="en-US"/>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9" w15:restartNumberingAfterBreak="0">
    <w:nsid w:val="67A86675"/>
    <w:multiLevelType w:val="hybridMultilevel"/>
    <w:tmpl w:val="07E074D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03002"/>
    <w:multiLevelType w:val="hybridMultilevel"/>
    <w:tmpl w:val="DCE25568"/>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F280D"/>
    <w:multiLevelType w:val="hybridMultilevel"/>
    <w:tmpl w:val="59128B9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9801EC"/>
    <w:multiLevelType w:val="hybridMultilevel"/>
    <w:tmpl w:val="BE5AFCDC"/>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A13D7"/>
    <w:multiLevelType w:val="hybridMultilevel"/>
    <w:tmpl w:val="CD802F8C"/>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6" w15:restartNumberingAfterBreak="0">
    <w:nsid w:val="7A9F721C"/>
    <w:multiLevelType w:val="hybridMultilevel"/>
    <w:tmpl w:val="F990A2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7"/>
  </w:num>
  <w:num w:numId="3">
    <w:abstractNumId w:val="16"/>
  </w:num>
  <w:num w:numId="4">
    <w:abstractNumId w:val="20"/>
  </w:num>
  <w:num w:numId="5">
    <w:abstractNumId w:val="2"/>
  </w:num>
  <w:num w:numId="6">
    <w:abstractNumId w:val="1"/>
  </w:num>
  <w:num w:numId="7">
    <w:abstractNumId w:val="28"/>
  </w:num>
  <w:num w:numId="8">
    <w:abstractNumId w:val="22"/>
  </w:num>
  <w:num w:numId="9">
    <w:abstractNumId w:val="25"/>
  </w:num>
  <w:num w:numId="10">
    <w:abstractNumId w:val="3"/>
  </w:num>
  <w:num w:numId="11">
    <w:abstractNumId w:val="33"/>
  </w:num>
  <w:num w:numId="12">
    <w:abstractNumId w:val="0"/>
  </w:num>
  <w:num w:numId="13">
    <w:abstractNumId w:val="34"/>
  </w:num>
  <w:num w:numId="14">
    <w:abstractNumId w:val="8"/>
  </w:num>
  <w:num w:numId="15">
    <w:abstractNumId w:val="6"/>
  </w:num>
  <w:num w:numId="16">
    <w:abstractNumId w:val="7"/>
  </w:num>
  <w:num w:numId="17">
    <w:abstractNumId w:val="36"/>
  </w:num>
  <w:num w:numId="18">
    <w:abstractNumId w:val="31"/>
  </w:num>
  <w:num w:numId="19">
    <w:abstractNumId w:val="30"/>
  </w:num>
  <w:num w:numId="20">
    <w:abstractNumId w:val="10"/>
  </w:num>
  <w:num w:numId="21">
    <w:abstractNumId w:val="18"/>
  </w:num>
  <w:num w:numId="22">
    <w:abstractNumId w:val="28"/>
  </w:num>
  <w:num w:numId="23">
    <w:abstractNumId w:val="28"/>
  </w:num>
  <w:num w:numId="24">
    <w:abstractNumId w:val="28"/>
  </w:num>
  <w:num w:numId="25">
    <w:abstractNumId w:val="17"/>
  </w:num>
  <w:num w:numId="26">
    <w:abstractNumId w:val="21"/>
  </w:num>
  <w:num w:numId="27">
    <w:abstractNumId w:val="28"/>
  </w:num>
  <w:num w:numId="28">
    <w:abstractNumId w:val="28"/>
  </w:num>
  <w:num w:numId="29">
    <w:abstractNumId w:val="28"/>
  </w:num>
  <w:num w:numId="30">
    <w:abstractNumId w:val="28"/>
  </w:num>
  <w:num w:numId="31">
    <w:abstractNumId w:val="29"/>
  </w:num>
  <w:num w:numId="32">
    <w:abstractNumId w:val="21"/>
  </w:num>
  <w:num w:numId="33">
    <w:abstractNumId w:val="9"/>
  </w:num>
  <w:num w:numId="34">
    <w:abstractNumId w:val="4"/>
  </w:num>
  <w:num w:numId="35">
    <w:abstractNumId w:val="35"/>
  </w:num>
  <w:num w:numId="36">
    <w:abstractNumId w:val="23"/>
  </w:num>
  <w:num w:numId="37">
    <w:abstractNumId w:val="19"/>
  </w:num>
  <w:num w:numId="38">
    <w:abstractNumId w:val="28"/>
  </w:num>
  <w:num w:numId="39">
    <w:abstractNumId w:val="28"/>
  </w:num>
  <w:num w:numId="40">
    <w:abstractNumId w:val="21"/>
  </w:num>
  <w:num w:numId="41">
    <w:abstractNumId w:val="26"/>
  </w:num>
  <w:num w:numId="42">
    <w:abstractNumId w:val="24"/>
  </w:num>
  <w:num w:numId="43">
    <w:abstractNumId w:val="5"/>
  </w:num>
  <w:num w:numId="44">
    <w:abstractNumId w:val="15"/>
  </w:num>
  <w:num w:numId="45">
    <w:abstractNumId w:val="12"/>
  </w:num>
  <w:num w:numId="46">
    <w:abstractNumId w:val="13"/>
  </w:num>
  <w:num w:numId="47">
    <w:abstractNumId w:val="32"/>
  </w:num>
  <w:num w:numId="48">
    <w:abstractNumId w:val="11"/>
  </w:num>
  <w:num w:numId="4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v:textbox inset="5.85pt,.7pt,5.85pt,.7pt"/>
      <o:colormru v:ext="edit" colors="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CE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0D0"/>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3B8F"/>
    <w:rsid w:val="000451AA"/>
    <w:rsid w:val="000451B2"/>
    <w:rsid w:val="000470FA"/>
    <w:rsid w:val="00047B7C"/>
    <w:rsid w:val="00050512"/>
    <w:rsid w:val="00051D63"/>
    <w:rsid w:val="00052B1B"/>
    <w:rsid w:val="00052CEE"/>
    <w:rsid w:val="00054511"/>
    <w:rsid w:val="000546D9"/>
    <w:rsid w:val="000546F8"/>
    <w:rsid w:val="00054D3E"/>
    <w:rsid w:val="00055C90"/>
    <w:rsid w:val="00056365"/>
    <w:rsid w:val="000565FA"/>
    <w:rsid w:val="000567CF"/>
    <w:rsid w:val="00056D56"/>
    <w:rsid w:val="0005711A"/>
    <w:rsid w:val="00057277"/>
    <w:rsid w:val="000576DC"/>
    <w:rsid w:val="000618C0"/>
    <w:rsid w:val="00061C4F"/>
    <w:rsid w:val="00062026"/>
    <w:rsid w:val="000625DD"/>
    <w:rsid w:val="00062BC5"/>
    <w:rsid w:val="00063B59"/>
    <w:rsid w:val="0006418F"/>
    <w:rsid w:val="000641D6"/>
    <w:rsid w:val="00064442"/>
    <w:rsid w:val="000648E1"/>
    <w:rsid w:val="00064A8A"/>
    <w:rsid w:val="0006506E"/>
    <w:rsid w:val="00066260"/>
    <w:rsid w:val="00066D93"/>
    <w:rsid w:val="00066EFB"/>
    <w:rsid w:val="0006704D"/>
    <w:rsid w:val="000676E1"/>
    <w:rsid w:val="000704A3"/>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546B"/>
    <w:rsid w:val="000864C4"/>
    <w:rsid w:val="00086BA6"/>
    <w:rsid w:val="00086CD6"/>
    <w:rsid w:val="00087024"/>
    <w:rsid w:val="0009048C"/>
    <w:rsid w:val="00090E23"/>
    <w:rsid w:val="00090E38"/>
    <w:rsid w:val="000910B1"/>
    <w:rsid w:val="000917D0"/>
    <w:rsid w:val="000918CB"/>
    <w:rsid w:val="00091E1F"/>
    <w:rsid w:val="00092416"/>
    <w:rsid w:val="00092482"/>
    <w:rsid w:val="00092737"/>
    <w:rsid w:val="00094187"/>
    <w:rsid w:val="00094C91"/>
    <w:rsid w:val="00096225"/>
    <w:rsid w:val="00097949"/>
    <w:rsid w:val="000A0C17"/>
    <w:rsid w:val="000A188B"/>
    <w:rsid w:val="000A2F1F"/>
    <w:rsid w:val="000A30F9"/>
    <w:rsid w:val="000A3DD0"/>
    <w:rsid w:val="000A4037"/>
    <w:rsid w:val="000A44CD"/>
    <w:rsid w:val="000A4C1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0A6"/>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BAD"/>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EF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AF9"/>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567BD"/>
    <w:rsid w:val="00157FED"/>
    <w:rsid w:val="00160A15"/>
    <w:rsid w:val="00161621"/>
    <w:rsid w:val="001623E3"/>
    <w:rsid w:val="001634F9"/>
    <w:rsid w:val="00163704"/>
    <w:rsid w:val="0016447A"/>
    <w:rsid w:val="001645E7"/>
    <w:rsid w:val="0016494E"/>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7C4"/>
    <w:rsid w:val="00183A8D"/>
    <w:rsid w:val="001842A9"/>
    <w:rsid w:val="00185932"/>
    <w:rsid w:val="00185AFD"/>
    <w:rsid w:val="001878E9"/>
    <w:rsid w:val="00190668"/>
    <w:rsid w:val="0019218D"/>
    <w:rsid w:val="00192325"/>
    <w:rsid w:val="001923AA"/>
    <w:rsid w:val="00192C9C"/>
    <w:rsid w:val="00192FB8"/>
    <w:rsid w:val="00193912"/>
    <w:rsid w:val="0019476C"/>
    <w:rsid w:val="00195384"/>
    <w:rsid w:val="00195461"/>
    <w:rsid w:val="001954B3"/>
    <w:rsid w:val="00195B09"/>
    <w:rsid w:val="00195DD0"/>
    <w:rsid w:val="00195E07"/>
    <w:rsid w:val="00195F40"/>
    <w:rsid w:val="001963B6"/>
    <w:rsid w:val="0019643C"/>
    <w:rsid w:val="0019657D"/>
    <w:rsid w:val="00196801"/>
    <w:rsid w:val="0019740D"/>
    <w:rsid w:val="00197EAC"/>
    <w:rsid w:val="001A020F"/>
    <w:rsid w:val="001A07AC"/>
    <w:rsid w:val="001A1FB9"/>
    <w:rsid w:val="001A21FD"/>
    <w:rsid w:val="001A2A4B"/>
    <w:rsid w:val="001A2B30"/>
    <w:rsid w:val="001A2F59"/>
    <w:rsid w:val="001A3FC2"/>
    <w:rsid w:val="001A414B"/>
    <w:rsid w:val="001A463A"/>
    <w:rsid w:val="001A4E3B"/>
    <w:rsid w:val="001A5354"/>
    <w:rsid w:val="001A5B6B"/>
    <w:rsid w:val="001A5E7A"/>
    <w:rsid w:val="001A6076"/>
    <w:rsid w:val="001A6A83"/>
    <w:rsid w:val="001A6BB7"/>
    <w:rsid w:val="001A7592"/>
    <w:rsid w:val="001A7B7F"/>
    <w:rsid w:val="001A7E80"/>
    <w:rsid w:val="001B00ED"/>
    <w:rsid w:val="001B1995"/>
    <w:rsid w:val="001B2725"/>
    <w:rsid w:val="001B27AA"/>
    <w:rsid w:val="001B3987"/>
    <w:rsid w:val="001B3EF2"/>
    <w:rsid w:val="001B3F05"/>
    <w:rsid w:val="001B3F11"/>
    <w:rsid w:val="001B5E6C"/>
    <w:rsid w:val="001B63C0"/>
    <w:rsid w:val="001B7029"/>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00E"/>
    <w:rsid w:val="001C73F4"/>
    <w:rsid w:val="001C788A"/>
    <w:rsid w:val="001D03C5"/>
    <w:rsid w:val="001D042F"/>
    <w:rsid w:val="001D0EEE"/>
    <w:rsid w:val="001D2D01"/>
    <w:rsid w:val="001D4BC3"/>
    <w:rsid w:val="001D5E1E"/>
    <w:rsid w:val="001D5F13"/>
    <w:rsid w:val="001D6574"/>
    <w:rsid w:val="001D6C23"/>
    <w:rsid w:val="001D6C3D"/>
    <w:rsid w:val="001D6DB2"/>
    <w:rsid w:val="001D6E45"/>
    <w:rsid w:val="001D7E7E"/>
    <w:rsid w:val="001D7FC0"/>
    <w:rsid w:val="001E03E3"/>
    <w:rsid w:val="001E06F1"/>
    <w:rsid w:val="001E10AA"/>
    <w:rsid w:val="001E112C"/>
    <w:rsid w:val="001E13CD"/>
    <w:rsid w:val="001E1450"/>
    <w:rsid w:val="001E2002"/>
    <w:rsid w:val="001E2151"/>
    <w:rsid w:val="001E21AA"/>
    <w:rsid w:val="001E2472"/>
    <w:rsid w:val="001E29A3"/>
    <w:rsid w:val="001E3093"/>
    <w:rsid w:val="001E36CD"/>
    <w:rsid w:val="001E3C8A"/>
    <w:rsid w:val="001E41F3"/>
    <w:rsid w:val="001E4F4B"/>
    <w:rsid w:val="001E570D"/>
    <w:rsid w:val="001E6660"/>
    <w:rsid w:val="001E6772"/>
    <w:rsid w:val="001E7814"/>
    <w:rsid w:val="001F02E5"/>
    <w:rsid w:val="001F06BC"/>
    <w:rsid w:val="001F1044"/>
    <w:rsid w:val="001F106C"/>
    <w:rsid w:val="001F15CE"/>
    <w:rsid w:val="001F1730"/>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C23"/>
    <w:rsid w:val="00233D8D"/>
    <w:rsid w:val="002340FB"/>
    <w:rsid w:val="00234CF8"/>
    <w:rsid w:val="002356BB"/>
    <w:rsid w:val="00235F3E"/>
    <w:rsid w:val="00235F6F"/>
    <w:rsid w:val="002361CA"/>
    <w:rsid w:val="00236FB3"/>
    <w:rsid w:val="002370AD"/>
    <w:rsid w:val="00237BDB"/>
    <w:rsid w:val="00237BE4"/>
    <w:rsid w:val="00237D55"/>
    <w:rsid w:val="00237E80"/>
    <w:rsid w:val="002411B8"/>
    <w:rsid w:val="00241418"/>
    <w:rsid w:val="00242057"/>
    <w:rsid w:val="00242324"/>
    <w:rsid w:val="00243A14"/>
    <w:rsid w:val="0024452A"/>
    <w:rsid w:val="0024466A"/>
    <w:rsid w:val="00244C25"/>
    <w:rsid w:val="00246647"/>
    <w:rsid w:val="00246744"/>
    <w:rsid w:val="00246BDE"/>
    <w:rsid w:val="00246C16"/>
    <w:rsid w:val="00247047"/>
    <w:rsid w:val="002475E9"/>
    <w:rsid w:val="0025029E"/>
    <w:rsid w:val="00250649"/>
    <w:rsid w:val="002508B5"/>
    <w:rsid w:val="002511FB"/>
    <w:rsid w:val="00251470"/>
    <w:rsid w:val="00251C95"/>
    <w:rsid w:val="00251EFE"/>
    <w:rsid w:val="00252404"/>
    <w:rsid w:val="00252C7C"/>
    <w:rsid w:val="00252EC0"/>
    <w:rsid w:val="0025337A"/>
    <w:rsid w:val="00253DB0"/>
    <w:rsid w:val="002545B7"/>
    <w:rsid w:val="00255ADC"/>
    <w:rsid w:val="00255E20"/>
    <w:rsid w:val="00256170"/>
    <w:rsid w:val="002563E9"/>
    <w:rsid w:val="0025645C"/>
    <w:rsid w:val="00260153"/>
    <w:rsid w:val="002608E1"/>
    <w:rsid w:val="002617AA"/>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6793A"/>
    <w:rsid w:val="00270155"/>
    <w:rsid w:val="0027034F"/>
    <w:rsid w:val="00270F89"/>
    <w:rsid w:val="00271109"/>
    <w:rsid w:val="00271927"/>
    <w:rsid w:val="00271990"/>
    <w:rsid w:val="00271AF8"/>
    <w:rsid w:val="00271B72"/>
    <w:rsid w:val="0027220B"/>
    <w:rsid w:val="00274354"/>
    <w:rsid w:val="00275D12"/>
    <w:rsid w:val="002762F3"/>
    <w:rsid w:val="00276549"/>
    <w:rsid w:val="002765D5"/>
    <w:rsid w:val="00277301"/>
    <w:rsid w:val="002773D8"/>
    <w:rsid w:val="002801CF"/>
    <w:rsid w:val="002802F1"/>
    <w:rsid w:val="00280A02"/>
    <w:rsid w:val="00281931"/>
    <w:rsid w:val="00281CBF"/>
    <w:rsid w:val="00282599"/>
    <w:rsid w:val="00282E6A"/>
    <w:rsid w:val="00283507"/>
    <w:rsid w:val="002835E0"/>
    <w:rsid w:val="0028362B"/>
    <w:rsid w:val="00285A54"/>
    <w:rsid w:val="00285F9E"/>
    <w:rsid w:val="002861C4"/>
    <w:rsid w:val="00286B9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90D"/>
    <w:rsid w:val="00296F22"/>
    <w:rsid w:val="0029787B"/>
    <w:rsid w:val="002979F1"/>
    <w:rsid w:val="00297E7C"/>
    <w:rsid w:val="002A0369"/>
    <w:rsid w:val="002A07C3"/>
    <w:rsid w:val="002A14B3"/>
    <w:rsid w:val="002A19C1"/>
    <w:rsid w:val="002A1BA9"/>
    <w:rsid w:val="002A2ED4"/>
    <w:rsid w:val="002A33E4"/>
    <w:rsid w:val="002A34C4"/>
    <w:rsid w:val="002A38E2"/>
    <w:rsid w:val="002A3FAB"/>
    <w:rsid w:val="002A5567"/>
    <w:rsid w:val="002A574C"/>
    <w:rsid w:val="002A5CDB"/>
    <w:rsid w:val="002A767D"/>
    <w:rsid w:val="002B02D7"/>
    <w:rsid w:val="002B1061"/>
    <w:rsid w:val="002B1070"/>
    <w:rsid w:val="002B1198"/>
    <w:rsid w:val="002B1BBB"/>
    <w:rsid w:val="002B2482"/>
    <w:rsid w:val="002B3324"/>
    <w:rsid w:val="002B353C"/>
    <w:rsid w:val="002B3585"/>
    <w:rsid w:val="002B4046"/>
    <w:rsid w:val="002B432D"/>
    <w:rsid w:val="002B4425"/>
    <w:rsid w:val="002B4B2B"/>
    <w:rsid w:val="002B4BCB"/>
    <w:rsid w:val="002B4EDA"/>
    <w:rsid w:val="002B4FE3"/>
    <w:rsid w:val="002B50A7"/>
    <w:rsid w:val="002B5AA3"/>
    <w:rsid w:val="002B6418"/>
    <w:rsid w:val="002C0805"/>
    <w:rsid w:val="002C0C64"/>
    <w:rsid w:val="002C129C"/>
    <w:rsid w:val="002C1D1E"/>
    <w:rsid w:val="002C1DA6"/>
    <w:rsid w:val="002C22F9"/>
    <w:rsid w:val="002C2DDE"/>
    <w:rsid w:val="002C3949"/>
    <w:rsid w:val="002C3D11"/>
    <w:rsid w:val="002C4A0D"/>
    <w:rsid w:val="002C5A0A"/>
    <w:rsid w:val="002C6161"/>
    <w:rsid w:val="002C78CA"/>
    <w:rsid w:val="002D0490"/>
    <w:rsid w:val="002D0E97"/>
    <w:rsid w:val="002D1648"/>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11BC"/>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BC2"/>
    <w:rsid w:val="00307D2B"/>
    <w:rsid w:val="00312267"/>
    <w:rsid w:val="00312A2B"/>
    <w:rsid w:val="00313025"/>
    <w:rsid w:val="00313D3B"/>
    <w:rsid w:val="003150A2"/>
    <w:rsid w:val="00315B37"/>
    <w:rsid w:val="00315CE9"/>
    <w:rsid w:val="00316A99"/>
    <w:rsid w:val="00316BC4"/>
    <w:rsid w:val="00317C3D"/>
    <w:rsid w:val="0032080E"/>
    <w:rsid w:val="003209D9"/>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6DC7"/>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6EB3"/>
    <w:rsid w:val="00347671"/>
    <w:rsid w:val="00347D59"/>
    <w:rsid w:val="0035086F"/>
    <w:rsid w:val="00350903"/>
    <w:rsid w:val="003515AC"/>
    <w:rsid w:val="003516E7"/>
    <w:rsid w:val="0035333D"/>
    <w:rsid w:val="00353C0E"/>
    <w:rsid w:val="00353FAA"/>
    <w:rsid w:val="00354883"/>
    <w:rsid w:val="00354F49"/>
    <w:rsid w:val="0035558C"/>
    <w:rsid w:val="003573F2"/>
    <w:rsid w:val="00360EAE"/>
    <w:rsid w:val="0036108E"/>
    <w:rsid w:val="00361CA9"/>
    <w:rsid w:val="003621E2"/>
    <w:rsid w:val="003623B0"/>
    <w:rsid w:val="003625A4"/>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433"/>
    <w:rsid w:val="003976D0"/>
    <w:rsid w:val="00397A7F"/>
    <w:rsid w:val="003A09AE"/>
    <w:rsid w:val="003A0ECB"/>
    <w:rsid w:val="003A160C"/>
    <w:rsid w:val="003A2274"/>
    <w:rsid w:val="003A33DC"/>
    <w:rsid w:val="003A3CB9"/>
    <w:rsid w:val="003A41F5"/>
    <w:rsid w:val="003A5394"/>
    <w:rsid w:val="003A53D7"/>
    <w:rsid w:val="003A64DF"/>
    <w:rsid w:val="003A67F2"/>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6125"/>
    <w:rsid w:val="003C6B5C"/>
    <w:rsid w:val="003C6C39"/>
    <w:rsid w:val="003C707D"/>
    <w:rsid w:val="003C70A7"/>
    <w:rsid w:val="003D0362"/>
    <w:rsid w:val="003D161A"/>
    <w:rsid w:val="003D1E8B"/>
    <w:rsid w:val="003D241A"/>
    <w:rsid w:val="003D24A1"/>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A43"/>
    <w:rsid w:val="003F7B15"/>
    <w:rsid w:val="003F7EAE"/>
    <w:rsid w:val="00400196"/>
    <w:rsid w:val="00400A94"/>
    <w:rsid w:val="004012EA"/>
    <w:rsid w:val="00401A45"/>
    <w:rsid w:val="004027F4"/>
    <w:rsid w:val="0040297C"/>
    <w:rsid w:val="00403A79"/>
    <w:rsid w:val="004046B3"/>
    <w:rsid w:val="004047C0"/>
    <w:rsid w:val="00404B01"/>
    <w:rsid w:val="00404FBA"/>
    <w:rsid w:val="00405134"/>
    <w:rsid w:val="0040529A"/>
    <w:rsid w:val="004055A0"/>
    <w:rsid w:val="00405648"/>
    <w:rsid w:val="00405BE7"/>
    <w:rsid w:val="00405D13"/>
    <w:rsid w:val="00406169"/>
    <w:rsid w:val="0040622D"/>
    <w:rsid w:val="004065B5"/>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2992"/>
    <w:rsid w:val="0042338F"/>
    <w:rsid w:val="0042416A"/>
    <w:rsid w:val="00424931"/>
    <w:rsid w:val="00424FB5"/>
    <w:rsid w:val="0042513D"/>
    <w:rsid w:val="00425740"/>
    <w:rsid w:val="00425870"/>
    <w:rsid w:val="00425AC3"/>
    <w:rsid w:val="00426C90"/>
    <w:rsid w:val="00427D13"/>
    <w:rsid w:val="0043181E"/>
    <w:rsid w:val="004326A5"/>
    <w:rsid w:val="00432792"/>
    <w:rsid w:val="00432A90"/>
    <w:rsid w:val="00432AFF"/>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C24"/>
    <w:rsid w:val="00453DCA"/>
    <w:rsid w:val="004548A4"/>
    <w:rsid w:val="00454996"/>
    <w:rsid w:val="00455031"/>
    <w:rsid w:val="00455652"/>
    <w:rsid w:val="004558A0"/>
    <w:rsid w:val="004561F2"/>
    <w:rsid w:val="004562C0"/>
    <w:rsid w:val="00456E9C"/>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0F9"/>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1B99"/>
    <w:rsid w:val="00481ED9"/>
    <w:rsid w:val="00482095"/>
    <w:rsid w:val="004821CA"/>
    <w:rsid w:val="00482E9D"/>
    <w:rsid w:val="0048316D"/>
    <w:rsid w:val="004834D4"/>
    <w:rsid w:val="004842E9"/>
    <w:rsid w:val="00484D83"/>
    <w:rsid w:val="0048508B"/>
    <w:rsid w:val="00486F1C"/>
    <w:rsid w:val="00487591"/>
    <w:rsid w:val="00487948"/>
    <w:rsid w:val="00487BA4"/>
    <w:rsid w:val="004930DF"/>
    <w:rsid w:val="0049329E"/>
    <w:rsid w:val="004948CD"/>
    <w:rsid w:val="00495821"/>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882"/>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529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3BB9"/>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1D40"/>
    <w:rsid w:val="0051284D"/>
    <w:rsid w:val="005138D0"/>
    <w:rsid w:val="0051424E"/>
    <w:rsid w:val="0051444C"/>
    <w:rsid w:val="00514C6A"/>
    <w:rsid w:val="005150E6"/>
    <w:rsid w:val="0051516B"/>
    <w:rsid w:val="005159C9"/>
    <w:rsid w:val="005167C9"/>
    <w:rsid w:val="00516D96"/>
    <w:rsid w:val="00516F46"/>
    <w:rsid w:val="00522807"/>
    <w:rsid w:val="00522955"/>
    <w:rsid w:val="00522B30"/>
    <w:rsid w:val="00522DC6"/>
    <w:rsid w:val="005237D3"/>
    <w:rsid w:val="0052484C"/>
    <w:rsid w:val="00525051"/>
    <w:rsid w:val="005252E9"/>
    <w:rsid w:val="00526ECD"/>
    <w:rsid w:val="00527EFF"/>
    <w:rsid w:val="0053136E"/>
    <w:rsid w:val="00531C10"/>
    <w:rsid w:val="005335D2"/>
    <w:rsid w:val="00535BEF"/>
    <w:rsid w:val="00536308"/>
    <w:rsid w:val="005363AD"/>
    <w:rsid w:val="00536E7E"/>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1376"/>
    <w:rsid w:val="005520ED"/>
    <w:rsid w:val="005521DA"/>
    <w:rsid w:val="00552FBF"/>
    <w:rsid w:val="0055320C"/>
    <w:rsid w:val="00553CFA"/>
    <w:rsid w:val="00553F9F"/>
    <w:rsid w:val="00554184"/>
    <w:rsid w:val="0055514A"/>
    <w:rsid w:val="005553C0"/>
    <w:rsid w:val="00555739"/>
    <w:rsid w:val="00555989"/>
    <w:rsid w:val="00555D99"/>
    <w:rsid w:val="005603B1"/>
    <w:rsid w:val="00560403"/>
    <w:rsid w:val="0056083C"/>
    <w:rsid w:val="00560D6A"/>
    <w:rsid w:val="00561992"/>
    <w:rsid w:val="00561A63"/>
    <w:rsid w:val="00561B34"/>
    <w:rsid w:val="00562029"/>
    <w:rsid w:val="0056239C"/>
    <w:rsid w:val="005635F2"/>
    <w:rsid w:val="0056368A"/>
    <w:rsid w:val="00563D9A"/>
    <w:rsid w:val="00563DCC"/>
    <w:rsid w:val="00564CCE"/>
    <w:rsid w:val="00565071"/>
    <w:rsid w:val="00565EF2"/>
    <w:rsid w:val="005664AF"/>
    <w:rsid w:val="0056772A"/>
    <w:rsid w:val="00570274"/>
    <w:rsid w:val="00570D29"/>
    <w:rsid w:val="00571177"/>
    <w:rsid w:val="0057141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1B4C"/>
    <w:rsid w:val="00582211"/>
    <w:rsid w:val="00583679"/>
    <w:rsid w:val="00583E80"/>
    <w:rsid w:val="005844B6"/>
    <w:rsid w:val="00584770"/>
    <w:rsid w:val="00586F93"/>
    <w:rsid w:val="00587828"/>
    <w:rsid w:val="00587A51"/>
    <w:rsid w:val="005901B5"/>
    <w:rsid w:val="00590CFC"/>
    <w:rsid w:val="005912E5"/>
    <w:rsid w:val="00591565"/>
    <w:rsid w:val="00591FCC"/>
    <w:rsid w:val="00592CC4"/>
    <w:rsid w:val="00592F70"/>
    <w:rsid w:val="005930BA"/>
    <w:rsid w:val="00594796"/>
    <w:rsid w:val="005960DA"/>
    <w:rsid w:val="0059663C"/>
    <w:rsid w:val="005979B0"/>
    <w:rsid w:val="005A0ADA"/>
    <w:rsid w:val="005A19CA"/>
    <w:rsid w:val="005A236D"/>
    <w:rsid w:val="005A3227"/>
    <w:rsid w:val="005A34D5"/>
    <w:rsid w:val="005A389C"/>
    <w:rsid w:val="005A38F7"/>
    <w:rsid w:val="005A39FC"/>
    <w:rsid w:val="005A4847"/>
    <w:rsid w:val="005A5321"/>
    <w:rsid w:val="005A75C7"/>
    <w:rsid w:val="005A78D2"/>
    <w:rsid w:val="005B1461"/>
    <w:rsid w:val="005B1EA7"/>
    <w:rsid w:val="005B20A5"/>
    <w:rsid w:val="005B298C"/>
    <w:rsid w:val="005B2B64"/>
    <w:rsid w:val="005B2D33"/>
    <w:rsid w:val="005B2F2B"/>
    <w:rsid w:val="005B2F9B"/>
    <w:rsid w:val="005B2FB2"/>
    <w:rsid w:val="005B3074"/>
    <w:rsid w:val="005B3076"/>
    <w:rsid w:val="005B356C"/>
    <w:rsid w:val="005B36D6"/>
    <w:rsid w:val="005B37E3"/>
    <w:rsid w:val="005B50EC"/>
    <w:rsid w:val="005B6086"/>
    <w:rsid w:val="005B6E07"/>
    <w:rsid w:val="005C0961"/>
    <w:rsid w:val="005C1E3D"/>
    <w:rsid w:val="005C2340"/>
    <w:rsid w:val="005C3AB3"/>
    <w:rsid w:val="005C3CBE"/>
    <w:rsid w:val="005C4332"/>
    <w:rsid w:val="005C4859"/>
    <w:rsid w:val="005C54FC"/>
    <w:rsid w:val="005C57DE"/>
    <w:rsid w:val="005C5FC6"/>
    <w:rsid w:val="005C6EA8"/>
    <w:rsid w:val="005C70DF"/>
    <w:rsid w:val="005C7CDC"/>
    <w:rsid w:val="005D1201"/>
    <w:rsid w:val="005D1557"/>
    <w:rsid w:val="005D3BCA"/>
    <w:rsid w:val="005D3F2D"/>
    <w:rsid w:val="005D5698"/>
    <w:rsid w:val="005D5EC3"/>
    <w:rsid w:val="005D64D9"/>
    <w:rsid w:val="005D64F9"/>
    <w:rsid w:val="005D6806"/>
    <w:rsid w:val="005D6FFC"/>
    <w:rsid w:val="005D7377"/>
    <w:rsid w:val="005E1E23"/>
    <w:rsid w:val="005E207E"/>
    <w:rsid w:val="005E287F"/>
    <w:rsid w:val="005E2C44"/>
    <w:rsid w:val="005E30D3"/>
    <w:rsid w:val="005E38F4"/>
    <w:rsid w:val="005E3958"/>
    <w:rsid w:val="005E3B25"/>
    <w:rsid w:val="005E3E81"/>
    <w:rsid w:val="005E3F12"/>
    <w:rsid w:val="005E605E"/>
    <w:rsid w:val="005E6175"/>
    <w:rsid w:val="005E66C8"/>
    <w:rsid w:val="005E7042"/>
    <w:rsid w:val="005E7D12"/>
    <w:rsid w:val="005F22FB"/>
    <w:rsid w:val="005F27CB"/>
    <w:rsid w:val="005F2915"/>
    <w:rsid w:val="005F3D0B"/>
    <w:rsid w:val="005F4DD7"/>
    <w:rsid w:val="005F67A0"/>
    <w:rsid w:val="005F7302"/>
    <w:rsid w:val="006014BE"/>
    <w:rsid w:val="006015CA"/>
    <w:rsid w:val="00601DA6"/>
    <w:rsid w:val="006027B1"/>
    <w:rsid w:val="006037E6"/>
    <w:rsid w:val="0060388C"/>
    <w:rsid w:val="00603B8E"/>
    <w:rsid w:val="00603D9B"/>
    <w:rsid w:val="00603FF3"/>
    <w:rsid w:val="006048DE"/>
    <w:rsid w:val="00604928"/>
    <w:rsid w:val="00605384"/>
    <w:rsid w:val="00606E2B"/>
    <w:rsid w:val="006070DC"/>
    <w:rsid w:val="00610807"/>
    <w:rsid w:val="00610E46"/>
    <w:rsid w:val="006112BC"/>
    <w:rsid w:val="00611840"/>
    <w:rsid w:val="00611848"/>
    <w:rsid w:val="00611850"/>
    <w:rsid w:val="00611E1C"/>
    <w:rsid w:val="0061223D"/>
    <w:rsid w:val="006125BA"/>
    <w:rsid w:val="00612730"/>
    <w:rsid w:val="00612849"/>
    <w:rsid w:val="00612D13"/>
    <w:rsid w:val="006135F7"/>
    <w:rsid w:val="006137DE"/>
    <w:rsid w:val="0061413E"/>
    <w:rsid w:val="0061440D"/>
    <w:rsid w:val="00614B3E"/>
    <w:rsid w:val="006155F1"/>
    <w:rsid w:val="00615B41"/>
    <w:rsid w:val="00615EB7"/>
    <w:rsid w:val="006169A0"/>
    <w:rsid w:val="006217E3"/>
    <w:rsid w:val="00622210"/>
    <w:rsid w:val="00622D02"/>
    <w:rsid w:val="00623946"/>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4D9"/>
    <w:rsid w:val="00641692"/>
    <w:rsid w:val="00642169"/>
    <w:rsid w:val="00643DA9"/>
    <w:rsid w:val="0064425A"/>
    <w:rsid w:val="00644CA2"/>
    <w:rsid w:val="00644F4C"/>
    <w:rsid w:val="00645235"/>
    <w:rsid w:val="00645C42"/>
    <w:rsid w:val="006463EB"/>
    <w:rsid w:val="00646870"/>
    <w:rsid w:val="006469F8"/>
    <w:rsid w:val="00647B9A"/>
    <w:rsid w:val="00650BA1"/>
    <w:rsid w:val="00650E5B"/>
    <w:rsid w:val="006512C2"/>
    <w:rsid w:val="00651E80"/>
    <w:rsid w:val="0065211E"/>
    <w:rsid w:val="0065218A"/>
    <w:rsid w:val="00652480"/>
    <w:rsid w:val="00652E8B"/>
    <w:rsid w:val="00653942"/>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29D0"/>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668F"/>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BDE"/>
    <w:rsid w:val="006E0C38"/>
    <w:rsid w:val="006E0DE8"/>
    <w:rsid w:val="006E0F08"/>
    <w:rsid w:val="006E0F44"/>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52"/>
    <w:rsid w:val="006F6CEC"/>
    <w:rsid w:val="006F6FAD"/>
    <w:rsid w:val="006F71FA"/>
    <w:rsid w:val="006F742B"/>
    <w:rsid w:val="006F7D3A"/>
    <w:rsid w:val="00700320"/>
    <w:rsid w:val="00701D34"/>
    <w:rsid w:val="00701D7E"/>
    <w:rsid w:val="00701E55"/>
    <w:rsid w:val="007027A3"/>
    <w:rsid w:val="00702D2A"/>
    <w:rsid w:val="00702F34"/>
    <w:rsid w:val="0070316E"/>
    <w:rsid w:val="00703FB2"/>
    <w:rsid w:val="007046A4"/>
    <w:rsid w:val="007048C6"/>
    <w:rsid w:val="00704C83"/>
    <w:rsid w:val="007076FC"/>
    <w:rsid w:val="0070775D"/>
    <w:rsid w:val="00707F77"/>
    <w:rsid w:val="007102B1"/>
    <w:rsid w:val="007104DC"/>
    <w:rsid w:val="00710540"/>
    <w:rsid w:val="00710D67"/>
    <w:rsid w:val="00710DE2"/>
    <w:rsid w:val="00710ECC"/>
    <w:rsid w:val="00710FC7"/>
    <w:rsid w:val="00712626"/>
    <w:rsid w:val="00712E03"/>
    <w:rsid w:val="00714642"/>
    <w:rsid w:val="00714BFF"/>
    <w:rsid w:val="00714E37"/>
    <w:rsid w:val="00714E82"/>
    <w:rsid w:val="00716A89"/>
    <w:rsid w:val="00716DE3"/>
    <w:rsid w:val="00717B82"/>
    <w:rsid w:val="007204D2"/>
    <w:rsid w:val="00720AB9"/>
    <w:rsid w:val="00720DEB"/>
    <w:rsid w:val="0072116D"/>
    <w:rsid w:val="007218D5"/>
    <w:rsid w:val="00721A27"/>
    <w:rsid w:val="007229EF"/>
    <w:rsid w:val="007242BC"/>
    <w:rsid w:val="00724FA8"/>
    <w:rsid w:val="00725053"/>
    <w:rsid w:val="007253B0"/>
    <w:rsid w:val="00725828"/>
    <w:rsid w:val="00726052"/>
    <w:rsid w:val="0072667D"/>
    <w:rsid w:val="0072677B"/>
    <w:rsid w:val="00727F6B"/>
    <w:rsid w:val="00730FBC"/>
    <w:rsid w:val="0073112F"/>
    <w:rsid w:val="00731177"/>
    <w:rsid w:val="0073150B"/>
    <w:rsid w:val="00732492"/>
    <w:rsid w:val="007324BC"/>
    <w:rsid w:val="007325C3"/>
    <w:rsid w:val="00732CBA"/>
    <w:rsid w:val="007330D2"/>
    <w:rsid w:val="00734166"/>
    <w:rsid w:val="00734A9D"/>
    <w:rsid w:val="00734B95"/>
    <w:rsid w:val="00736301"/>
    <w:rsid w:val="00736DDE"/>
    <w:rsid w:val="00736E0F"/>
    <w:rsid w:val="00737552"/>
    <w:rsid w:val="007423BF"/>
    <w:rsid w:val="007432D4"/>
    <w:rsid w:val="00743A29"/>
    <w:rsid w:val="00744563"/>
    <w:rsid w:val="00744BB3"/>
    <w:rsid w:val="00745636"/>
    <w:rsid w:val="00745821"/>
    <w:rsid w:val="0074589C"/>
    <w:rsid w:val="007465C3"/>
    <w:rsid w:val="00746FDC"/>
    <w:rsid w:val="00747161"/>
    <w:rsid w:val="0074732E"/>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2B0A"/>
    <w:rsid w:val="00774B7C"/>
    <w:rsid w:val="00774C8B"/>
    <w:rsid w:val="00774C9A"/>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CA7"/>
    <w:rsid w:val="00784E06"/>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53"/>
    <w:rsid w:val="007A139D"/>
    <w:rsid w:val="007A25FC"/>
    <w:rsid w:val="007A2891"/>
    <w:rsid w:val="007A3103"/>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5234"/>
    <w:rsid w:val="007D6004"/>
    <w:rsid w:val="007D73CF"/>
    <w:rsid w:val="007E0D80"/>
    <w:rsid w:val="007E1135"/>
    <w:rsid w:val="007E26D3"/>
    <w:rsid w:val="007E31C1"/>
    <w:rsid w:val="007E3AEE"/>
    <w:rsid w:val="007E3FE6"/>
    <w:rsid w:val="007E4333"/>
    <w:rsid w:val="007E45AD"/>
    <w:rsid w:val="007E460A"/>
    <w:rsid w:val="007E5469"/>
    <w:rsid w:val="007E5F98"/>
    <w:rsid w:val="007E605B"/>
    <w:rsid w:val="007E78D9"/>
    <w:rsid w:val="007E7FE5"/>
    <w:rsid w:val="007F08BE"/>
    <w:rsid w:val="007F08F9"/>
    <w:rsid w:val="007F0BCD"/>
    <w:rsid w:val="007F1260"/>
    <w:rsid w:val="007F184A"/>
    <w:rsid w:val="007F1AD4"/>
    <w:rsid w:val="007F220A"/>
    <w:rsid w:val="007F2586"/>
    <w:rsid w:val="007F2991"/>
    <w:rsid w:val="007F38D8"/>
    <w:rsid w:val="007F395F"/>
    <w:rsid w:val="007F49BC"/>
    <w:rsid w:val="007F5776"/>
    <w:rsid w:val="007F57D7"/>
    <w:rsid w:val="007F5FF4"/>
    <w:rsid w:val="007F71F4"/>
    <w:rsid w:val="007F7468"/>
    <w:rsid w:val="0080074F"/>
    <w:rsid w:val="00800F2A"/>
    <w:rsid w:val="00801587"/>
    <w:rsid w:val="00802345"/>
    <w:rsid w:val="0080341C"/>
    <w:rsid w:val="00803F61"/>
    <w:rsid w:val="008042B5"/>
    <w:rsid w:val="0080575D"/>
    <w:rsid w:val="008068E8"/>
    <w:rsid w:val="00807901"/>
    <w:rsid w:val="0081079E"/>
    <w:rsid w:val="008110CE"/>
    <w:rsid w:val="00812140"/>
    <w:rsid w:val="008121CF"/>
    <w:rsid w:val="00812736"/>
    <w:rsid w:val="00813201"/>
    <w:rsid w:val="00813840"/>
    <w:rsid w:val="00813A37"/>
    <w:rsid w:val="00813F13"/>
    <w:rsid w:val="00813F40"/>
    <w:rsid w:val="00814172"/>
    <w:rsid w:val="00814A1D"/>
    <w:rsid w:val="00815023"/>
    <w:rsid w:val="008150C3"/>
    <w:rsid w:val="00815C44"/>
    <w:rsid w:val="00816B1B"/>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0C"/>
    <w:rsid w:val="00825B11"/>
    <w:rsid w:val="0082636F"/>
    <w:rsid w:val="00826F4E"/>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47E"/>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096C"/>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0F4D"/>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97E8D"/>
    <w:rsid w:val="008A0045"/>
    <w:rsid w:val="008A0943"/>
    <w:rsid w:val="008A241E"/>
    <w:rsid w:val="008A26DA"/>
    <w:rsid w:val="008A354F"/>
    <w:rsid w:val="008A4F55"/>
    <w:rsid w:val="008A554A"/>
    <w:rsid w:val="008A668C"/>
    <w:rsid w:val="008B077A"/>
    <w:rsid w:val="008B0D5B"/>
    <w:rsid w:val="008B0F6E"/>
    <w:rsid w:val="008B1984"/>
    <w:rsid w:val="008B251A"/>
    <w:rsid w:val="008B392E"/>
    <w:rsid w:val="008B3F51"/>
    <w:rsid w:val="008B4922"/>
    <w:rsid w:val="008B4C99"/>
    <w:rsid w:val="008B511F"/>
    <w:rsid w:val="008B5316"/>
    <w:rsid w:val="008B5F54"/>
    <w:rsid w:val="008B630B"/>
    <w:rsid w:val="008B6356"/>
    <w:rsid w:val="008B6D0E"/>
    <w:rsid w:val="008C164F"/>
    <w:rsid w:val="008C24B0"/>
    <w:rsid w:val="008C2904"/>
    <w:rsid w:val="008C51E9"/>
    <w:rsid w:val="008C606A"/>
    <w:rsid w:val="008C65FB"/>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23A"/>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034"/>
    <w:rsid w:val="008F52DC"/>
    <w:rsid w:val="008F645A"/>
    <w:rsid w:val="008F686C"/>
    <w:rsid w:val="008F6C69"/>
    <w:rsid w:val="008F6E90"/>
    <w:rsid w:val="008F720E"/>
    <w:rsid w:val="008F7358"/>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1A42"/>
    <w:rsid w:val="00911FF7"/>
    <w:rsid w:val="00912186"/>
    <w:rsid w:val="0091321A"/>
    <w:rsid w:val="0091364E"/>
    <w:rsid w:val="009158E7"/>
    <w:rsid w:val="00920520"/>
    <w:rsid w:val="00920642"/>
    <w:rsid w:val="00920ECD"/>
    <w:rsid w:val="00923143"/>
    <w:rsid w:val="00923154"/>
    <w:rsid w:val="009238DF"/>
    <w:rsid w:val="00923AEA"/>
    <w:rsid w:val="00924F6F"/>
    <w:rsid w:val="009258AB"/>
    <w:rsid w:val="00926047"/>
    <w:rsid w:val="00926ED5"/>
    <w:rsid w:val="0092778C"/>
    <w:rsid w:val="00930B49"/>
    <w:rsid w:val="00931567"/>
    <w:rsid w:val="00931A13"/>
    <w:rsid w:val="009324F6"/>
    <w:rsid w:val="00932831"/>
    <w:rsid w:val="009333FC"/>
    <w:rsid w:val="00934604"/>
    <w:rsid w:val="00934B41"/>
    <w:rsid w:val="009354F9"/>
    <w:rsid w:val="0093611D"/>
    <w:rsid w:val="0093624F"/>
    <w:rsid w:val="00936722"/>
    <w:rsid w:val="0093715B"/>
    <w:rsid w:val="00937418"/>
    <w:rsid w:val="00937C66"/>
    <w:rsid w:val="009405D9"/>
    <w:rsid w:val="00940823"/>
    <w:rsid w:val="009408DB"/>
    <w:rsid w:val="00941910"/>
    <w:rsid w:val="00941B9E"/>
    <w:rsid w:val="0094239C"/>
    <w:rsid w:val="009425BF"/>
    <w:rsid w:val="009427B0"/>
    <w:rsid w:val="00942ADB"/>
    <w:rsid w:val="009431E8"/>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017"/>
    <w:rsid w:val="00962986"/>
    <w:rsid w:val="009631FC"/>
    <w:rsid w:val="00963A9D"/>
    <w:rsid w:val="009643A2"/>
    <w:rsid w:val="0096496A"/>
    <w:rsid w:val="009656C2"/>
    <w:rsid w:val="009670DA"/>
    <w:rsid w:val="00967632"/>
    <w:rsid w:val="00970FDC"/>
    <w:rsid w:val="009711D6"/>
    <w:rsid w:val="009711F5"/>
    <w:rsid w:val="0097180E"/>
    <w:rsid w:val="00971AC7"/>
    <w:rsid w:val="00972289"/>
    <w:rsid w:val="009732E1"/>
    <w:rsid w:val="00973F2C"/>
    <w:rsid w:val="00974B0E"/>
    <w:rsid w:val="00974DFC"/>
    <w:rsid w:val="00975666"/>
    <w:rsid w:val="009757FB"/>
    <w:rsid w:val="0097605C"/>
    <w:rsid w:val="00977EE5"/>
    <w:rsid w:val="009805EB"/>
    <w:rsid w:val="00980D9D"/>
    <w:rsid w:val="00981D12"/>
    <w:rsid w:val="009828BE"/>
    <w:rsid w:val="00982B8C"/>
    <w:rsid w:val="00982C3C"/>
    <w:rsid w:val="0098319E"/>
    <w:rsid w:val="00983334"/>
    <w:rsid w:val="009835A5"/>
    <w:rsid w:val="00983C6F"/>
    <w:rsid w:val="0098538E"/>
    <w:rsid w:val="00985ACE"/>
    <w:rsid w:val="0098647B"/>
    <w:rsid w:val="00987644"/>
    <w:rsid w:val="00990080"/>
    <w:rsid w:val="009901D1"/>
    <w:rsid w:val="009925E8"/>
    <w:rsid w:val="00992D6C"/>
    <w:rsid w:val="009939A6"/>
    <w:rsid w:val="009940CF"/>
    <w:rsid w:val="009942D1"/>
    <w:rsid w:val="00994A2F"/>
    <w:rsid w:val="00995234"/>
    <w:rsid w:val="0099588B"/>
    <w:rsid w:val="00995B37"/>
    <w:rsid w:val="00995B3E"/>
    <w:rsid w:val="00995E80"/>
    <w:rsid w:val="00995F6E"/>
    <w:rsid w:val="00996C43"/>
    <w:rsid w:val="00997567"/>
    <w:rsid w:val="009A1C2C"/>
    <w:rsid w:val="009A27AD"/>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3DF7"/>
    <w:rsid w:val="009B4359"/>
    <w:rsid w:val="009B4566"/>
    <w:rsid w:val="009B4EA0"/>
    <w:rsid w:val="009B5545"/>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5D5D"/>
    <w:rsid w:val="009C640F"/>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D7F40"/>
    <w:rsid w:val="009E0521"/>
    <w:rsid w:val="009E05ED"/>
    <w:rsid w:val="009E0DE9"/>
    <w:rsid w:val="009E122A"/>
    <w:rsid w:val="009E2494"/>
    <w:rsid w:val="009E2F30"/>
    <w:rsid w:val="009E4175"/>
    <w:rsid w:val="009E4743"/>
    <w:rsid w:val="009E49A5"/>
    <w:rsid w:val="009E587C"/>
    <w:rsid w:val="009E5A83"/>
    <w:rsid w:val="009E5B35"/>
    <w:rsid w:val="009E5EE7"/>
    <w:rsid w:val="009E60D6"/>
    <w:rsid w:val="009E6220"/>
    <w:rsid w:val="009E6C96"/>
    <w:rsid w:val="009E7647"/>
    <w:rsid w:val="009E7BF5"/>
    <w:rsid w:val="009E7D09"/>
    <w:rsid w:val="009F0C8C"/>
    <w:rsid w:val="009F0FE7"/>
    <w:rsid w:val="009F1082"/>
    <w:rsid w:val="009F25A4"/>
    <w:rsid w:val="009F2955"/>
    <w:rsid w:val="009F2A15"/>
    <w:rsid w:val="009F396A"/>
    <w:rsid w:val="009F4744"/>
    <w:rsid w:val="009F521E"/>
    <w:rsid w:val="009F542D"/>
    <w:rsid w:val="009F59D5"/>
    <w:rsid w:val="009F5A7D"/>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45"/>
    <w:rsid w:val="00A01B8B"/>
    <w:rsid w:val="00A020C8"/>
    <w:rsid w:val="00A025FA"/>
    <w:rsid w:val="00A02E2F"/>
    <w:rsid w:val="00A03CC8"/>
    <w:rsid w:val="00A04600"/>
    <w:rsid w:val="00A04808"/>
    <w:rsid w:val="00A04FF2"/>
    <w:rsid w:val="00A0513C"/>
    <w:rsid w:val="00A065B8"/>
    <w:rsid w:val="00A06AFF"/>
    <w:rsid w:val="00A06BC1"/>
    <w:rsid w:val="00A076B9"/>
    <w:rsid w:val="00A0776D"/>
    <w:rsid w:val="00A07D91"/>
    <w:rsid w:val="00A10F52"/>
    <w:rsid w:val="00A112A3"/>
    <w:rsid w:val="00A11574"/>
    <w:rsid w:val="00A12004"/>
    <w:rsid w:val="00A1340C"/>
    <w:rsid w:val="00A1359A"/>
    <w:rsid w:val="00A13AFB"/>
    <w:rsid w:val="00A14045"/>
    <w:rsid w:val="00A1463D"/>
    <w:rsid w:val="00A1466C"/>
    <w:rsid w:val="00A149A7"/>
    <w:rsid w:val="00A15BEC"/>
    <w:rsid w:val="00A174CD"/>
    <w:rsid w:val="00A17525"/>
    <w:rsid w:val="00A20F09"/>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0054"/>
    <w:rsid w:val="00A31293"/>
    <w:rsid w:val="00A3178C"/>
    <w:rsid w:val="00A31C8F"/>
    <w:rsid w:val="00A32E7F"/>
    <w:rsid w:val="00A3314F"/>
    <w:rsid w:val="00A33276"/>
    <w:rsid w:val="00A33A45"/>
    <w:rsid w:val="00A3402B"/>
    <w:rsid w:val="00A340A5"/>
    <w:rsid w:val="00A343DE"/>
    <w:rsid w:val="00A34779"/>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E35"/>
    <w:rsid w:val="00A51F1F"/>
    <w:rsid w:val="00A521AC"/>
    <w:rsid w:val="00A52558"/>
    <w:rsid w:val="00A52848"/>
    <w:rsid w:val="00A52B23"/>
    <w:rsid w:val="00A533BD"/>
    <w:rsid w:val="00A53B01"/>
    <w:rsid w:val="00A53BFA"/>
    <w:rsid w:val="00A5446B"/>
    <w:rsid w:val="00A5469D"/>
    <w:rsid w:val="00A548F8"/>
    <w:rsid w:val="00A54D8A"/>
    <w:rsid w:val="00A55312"/>
    <w:rsid w:val="00A55D76"/>
    <w:rsid w:val="00A568AD"/>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4A95"/>
    <w:rsid w:val="00A75378"/>
    <w:rsid w:val="00A76A96"/>
    <w:rsid w:val="00A76AC9"/>
    <w:rsid w:val="00A7707F"/>
    <w:rsid w:val="00A774C5"/>
    <w:rsid w:val="00A77C98"/>
    <w:rsid w:val="00A80A5D"/>
    <w:rsid w:val="00A81313"/>
    <w:rsid w:val="00A81D88"/>
    <w:rsid w:val="00A82088"/>
    <w:rsid w:val="00A832F8"/>
    <w:rsid w:val="00A839F4"/>
    <w:rsid w:val="00A844D1"/>
    <w:rsid w:val="00A84677"/>
    <w:rsid w:val="00A851B5"/>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65F0"/>
    <w:rsid w:val="00AA7353"/>
    <w:rsid w:val="00AA7551"/>
    <w:rsid w:val="00AA7876"/>
    <w:rsid w:val="00AA7A42"/>
    <w:rsid w:val="00AB08E1"/>
    <w:rsid w:val="00AB0B0B"/>
    <w:rsid w:val="00AB0BF9"/>
    <w:rsid w:val="00AB120F"/>
    <w:rsid w:val="00AB15A9"/>
    <w:rsid w:val="00AB1AD8"/>
    <w:rsid w:val="00AB2A01"/>
    <w:rsid w:val="00AB2AEA"/>
    <w:rsid w:val="00AB2E13"/>
    <w:rsid w:val="00AB3913"/>
    <w:rsid w:val="00AB48A0"/>
    <w:rsid w:val="00AB4DC2"/>
    <w:rsid w:val="00AB4DE6"/>
    <w:rsid w:val="00AB58CA"/>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2B89"/>
    <w:rsid w:val="00AD30D5"/>
    <w:rsid w:val="00AD3926"/>
    <w:rsid w:val="00AD428B"/>
    <w:rsid w:val="00AD4AA7"/>
    <w:rsid w:val="00AD4EDE"/>
    <w:rsid w:val="00AD5816"/>
    <w:rsid w:val="00AE0467"/>
    <w:rsid w:val="00AE0A08"/>
    <w:rsid w:val="00AE0B0C"/>
    <w:rsid w:val="00AE1462"/>
    <w:rsid w:val="00AE37CD"/>
    <w:rsid w:val="00AE37D6"/>
    <w:rsid w:val="00AE4850"/>
    <w:rsid w:val="00AE499F"/>
    <w:rsid w:val="00AE538B"/>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BD6"/>
    <w:rsid w:val="00B13D1E"/>
    <w:rsid w:val="00B13F96"/>
    <w:rsid w:val="00B14872"/>
    <w:rsid w:val="00B14C53"/>
    <w:rsid w:val="00B14FCC"/>
    <w:rsid w:val="00B15043"/>
    <w:rsid w:val="00B151BA"/>
    <w:rsid w:val="00B1570F"/>
    <w:rsid w:val="00B1576D"/>
    <w:rsid w:val="00B15D0F"/>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1411"/>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B52"/>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11FC"/>
    <w:rsid w:val="00B6218C"/>
    <w:rsid w:val="00B62281"/>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384"/>
    <w:rsid w:val="00B83AB4"/>
    <w:rsid w:val="00B83FA3"/>
    <w:rsid w:val="00B85524"/>
    <w:rsid w:val="00B85850"/>
    <w:rsid w:val="00B86C70"/>
    <w:rsid w:val="00B86EE9"/>
    <w:rsid w:val="00B87038"/>
    <w:rsid w:val="00B879EB"/>
    <w:rsid w:val="00B902A3"/>
    <w:rsid w:val="00B910BF"/>
    <w:rsid w:val="00B917E4"/>
    <w:rsid w:val="00B91B6A"/>
    <w:rsid w:val="00B9208F"/>
    <w:rsid w:val="00B940B4"/>
    <w:rsid w:val="00B9426B"/>
    <w:rsid w:val="00B95109"/>
    <w:rsid w:val="00B95A4A"/>
    <w:rsid w:val="00B95BE2"/>
    <w:rsid w:val="00B9604B"/>
    <w:rsid w:val="00B96698"/>
    <w:rsid w:val="00B97407"/>
    <w:rsid w:val="00BA2395"/>
    <w:rsid w:val="00BA2BAB"/>
    <w:rsid w:val="00BA2DDB"/>
    <w:rsid w:val="00BA303C"/>
    <w:rsid w:val="00BA4F43"/>
    <w:rsid w:val="00BA52D9"/>
    <w:rsid w:val="00BA555C"/>
    <w:rsid w:val="00BA582E"/>
    <w:rsid w:val="00BA5C36"/>
    <w:rsid w:val="00BA6230"/>
    <w:rsid w:val="00BA7047"/>
    <w:rsid w:val="00BA78F2"/>
    <w:rsid w:val="00BB034A"/>
    <w:rsid w:val="00BB03AE"/>
    <w:rsid w:val="00BB0812"/>
    <w:rsid w:val="00BB09D7"/>
    <w:rsid w:val="00BB0A00"/>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4242"/>
    <w:rsid w:val="00BD5560"/>
    <w:rsid w:val="00BD660E"/>
    <w:rsid w:val="00BD7199"/>
    <w:rsid w:val="00BD7646"/>
    <w:rsid w:val="00BD78D9"/>
    <w:rsid w:val="00BD7E42"/>
    <w:rsid w:val="00BE0022"/>
    <w:rsid w:val="00BE105A"/>
    <w:rsid w:val="00BE318E"/>
    <w:rsid w:val="00BE36AB"/>
    <w:rsid w:val="00BE39DB"/>
    <w:rsid w:val="00BE3CD5"/>
    <w:rsid w:val="00BE415E"/>
    <w:rsid w:val="00BE4167"/>
    <w:rsid w:val="00BE491E"/>
    <w:rsid w:val="00BE55C7"/>
    <w:rsid w:val="00BE5E32"/>
    <w:rsid w:val="00BE5F0B"/>
    <w:rsid w:val="00BE6619"/>
    <w:rsid w:val="00BE7566"/>
    <w:rsid w:val="00BE7A73"/>
    <w:rsid w:val="00BF234B"/>
    <w:rsid w:val="00BF39B8"/>
    <w:rsid w:val="00BF40C0"/>
    <w:rsid w:val="00BF415B"/>
    <w:rsid w:val="00BF4EAA"/>
    <w:rsid w:val="00BF6510"/>
    <w:rsid w:val="00BF6740"/>
    <w:rsid w:val="00BF6A82"/>
    <w:rsid w:val="00BF703E"/>
    <w:rsid w:val="00BF70B5"/>
    <w:rsid w:val="00BF74CF"/>
    <w:rsid w:val="00BF7671"/>
    <w:rsid w:val="00BF7FB4"/>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069"/>
    <w:rsid w:val="00C3024B"/>
    <w:rsid w:val="00C308A3"/>
    <w:rsid w:val="00C30F67"/>
    <w:rsid w:val="00C31514"/>
    <w:rsid w:val="00C31AB9"/>
    <w:rsid w:val="00C329BB"/>
    <w:rsid w:val="00C33F07"/>
    <w:rsid w:val="00C3574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4B7A"/>
    <w:rsid w:val="00C460B7"/>
    <w:rsid w:val="00C463C0"/>
    <w:rsid w:val="00C467D3"/>
    <w:rsid w:val="00C46916"/>
    <w:rsid w:val="00C47319"/>
    <w:rsid w:val="00C47ED8"/>
    <w:rsid w:val="00C50420"/>
    <w:rsid w:val="00C50789"/>
    <w:rsid w:val="00C51782"/>
    <w:rsid w:val="00C52884"/>
    <w:rsid w:val="00C529F6"/>
    <w:rsid w:val="00C52CA8"/>
    <w:rsid w:val="00C52E8E"/>
    <w:rsid w:val="00C5321E"/>
    <w:rsid w:val="00C53B1F"/>
    <w:rsid w:val="00C54A69"/>
    <w:rsid w:val="00C558C5"/>
    <w:rsid w:val="00C5595F"/>
    <w:rsid w:val="00C561BA"/>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2531"/>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A76"/>
    <w:rsid w:val="00C87E66"/>
    <w:rsid w:val="00C87F07"/>
    <w:rsid w:val="00C87F19"/>
    <w:rsid w:val="00C902B3"/>
    <w:rsid w:val="00C906DB"/>
    <w:rsid w:val="00C90914"/>
    <w:rsid w:val="00C91610"/>
    <w:rsid w:val="00C9425B"/>
    <w:rsid w:val="00C953B4"/>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1514"/>
    <w:rsid w:val="00CB427D"/>
    <w:rsid w:val="00CB43DA"/>
    <w:rsid w:val="00CB4747"/>
    <w:rsid w:val="00CB56CB"/>
    <w:rsid w:val="00CB6175"/>
    <w:rsid w:val="00CB64FC"/>
    <w:rsid w:val="00CB66FD"/>
    <w:rsid w:val="00CB6C8F"/>
    <w:rsid w:val="00CB6F00"/>
    <w:rsid w:val="00CB77C0"/>
    <w:rsid w:val="00CB7E0C"/>
    <w:rsid w:val="00CB7F4C"/>
    <w:rsid w:val="00CC00ED"/>
    <w:rsid w:val="00CC0244"/>
    <w:rsid w:val="00CC246A"/>
    <w:rsid w:val="00CC2CA8"/>
    <w:rsid w:val="00CC3660"/>
    <w:rsid w:val="00CC36E3"/>
    <w:rsid w:val="00CC3AE6"/>
    <w:rsid w:val="00CC5026"/>
    <w:rsid w:val="00CC57EA"/>
    <w:rsid w:val="00CC5FB7"/>
    <w:rsid w:val="00CC6068"/>
    <w:rsid w:val="00CC666A"/>
    <w:rsid w:val="00CC667E"/>
    <w:rsid w:val="00CC6C86"/>
    <w:rsid w:val="00CC7940"/>
    <w:rsid w:val="00CC7C4A"/>
    <w:rsid w:val="00CD0169"/>
    <w:rsid w:val="00CD0173"/>
    <w:rsid w:val="00CD05A4"/>
    <w:rsid w:val="00CD19F7"/>
    <w:rsid w:val="00CD224D"/>
    <w:rsid w:val="00CD26EA"/>
    <w:rsid w:val="00CD2D8E"/>
    <w:rsid w:val="00CD3464"/>
    <w:rsid w:val="00CD34C3"/>
    <w:rsid w:val="00CD4037"/>
    <w:rsid w:val="00CD5233"/>
    <w:rsid w:val="00CD6056"/>
    <w:rsid w:val="00CD69FE"/>
    <w:rsid w:val="00CD730D"/>
    <w:rsid w:val="00CE0655"/>
    <w:rsid w:val="00CE07A0"/>
    <w:rsid w:val="00CE0CCC"/>
    <w:rsid w:val="00CE0DAF"/>
    <w:rsid w:val="00CE1076"/>
    <w:rsid w:val="00CE1C0D"/>
    <w:rsid w:val="00CE333C"/>
    <w:rsid w:val="00CE3798"/>
    <w:rsid w:val="00CE4022"/>
    <w:rsid w:val="00CE4535"/>
    <w:rsid w:val="00CE549B"/>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8B5"/>
    <w:rsid w:val="00CF5C9A"/>
    <w:rsid w:val="00CF6817"/>
    <w:rsid w:val="00CF74D4"/>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9B8"/>
    <w:rsid w:val="00D06F9A"/>
    <w:rsid w:val="00D07AC1"/>
    <w:rsid w:val="00D07E88"/>
    <w:rsid w:val="00D10C95"/>
    <w:rsid w:val="00D1184C"/>
    <w:rsid w:val="00D11CB4"/>
    <w:rsid w:val="00D11EAE"/>
    <w:rsid w:val="00D1275A"/>
    <w:rsid w:val="00D13320"/>
    <w:rsid w:val="00D15011"/>
    <w:rsid w:val="00D15768"/>
    <w:rsid w:val="00D15EBC"/>
    <w:rsid w:val="00D16596"/>
    <w:rsid w:val="00D1765B"/>
    <w:rsid w:val="00D1774F"/>
    <w:rsid w:val="00D17D19"/>
    <w:rsid w:val="00D20462"/>
    <w:rsid w:val="00D20AA8"/>
    <w:rsid w:val="00D20ADB"/>
    <w:rsid w:val="00D20E48"/>
    <w:rsid w:val="00D21384"/>
    <w:rsid w:val="00D21DBE"/>
    <w:rsid w:val="00D2335E"/>
    <w:rsid w:val="00D234D3"/>
    <w:rsid w:val="00D23DAF"/>
    <w:rsid w:val="00D2462F"/>
    <w:rsid w:val="00D248C5"/>
    <w:rsid w:val="00D24BD4"/>
    <w:rsid w:val="00D24CBB"/>
    <w:rsid w:val="00D25360"/>
    <w:rsid w:val="00D2543D"/>
    <w:rsid w:val="00D256DC"/>
    <w:rsid w:val="00D2701A"/>
    <w:rsid w:val="00D27205"/>
    <w:rsid w:val="00D27657"/>
    <w:rsid w:val="00D31588"/>
    <w:rsid w:val="00D3193D"/>
    <w:rsid w:val="00D31CD5"/>
    <w:rsid w:val="00D31DF3"/>
    <w:rsid w:val="00D31FC7"/>
    <w:rsid w:val="00D32364"/>
    <w:rsid w:val="00D326FC"/>
    <w:rsid w:val="00D32C93"/>
    <w:rsid w:val="00D32E88"/>
    <w:rsid w:val="00D3768A"/>
    <w:rsid w:val="00D376FB"/>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677"/>
    <w:rsid w:val="00D62E96"/>
    <w:rsid w:val="00D63811"/>
    <w:rsid w:val="00D638CD"/>
    <w:rsid w:val="00D63CA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8C3"/>
    <w:rsid w:val="00D80AF6"/>
    <w:rsid w:val="00D813AD"/>
    <w:rsid w:val="00D81A55"/>
    <w:rsid w:val="00D821E0"/>
    <w:rsid w:val="00D833D5"/>
    <w:rsid w:val="00D85123"/>
    <w:rsid w:val="00D85CE5"/>
    <w:rsid w:val="00D85DFC"/>
    <w:rsid w:val="00D866C6"/>
    <w:rsid w:val="00D867CF"/>
    <w:rsid w:val="00D867E5"/>
    <w:rsid w:val="00D87F87"/>
    <w:rsid w:val="00D90D36"/>
    <w:rsid w:val="00D9185A"/>
    <w:rsid w:val="00D91DC2"/>
    <w:rsid w:val="00D92025"/>
    <w:rsid w:val="00D92331"/>
    <w:rsid w:val="00D92A00"/>
    <w:rsid w:val="00D92B4B"/>
    <w:rsid w:val="00D93221"/>
    <w:rsid w:val="00D93393"/>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278"/>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32"/>
    <w:rsid w:val="00DC5399"/>
    <w:rsid w:val="00DC5E3E"/>
    <w:rsid w:val="00DC695D"/>
    <w:rsid w:val="00DC6A23"/>
    <w:rsid w:val="00DC6C0E"/>
    <w:rsid w:val="00DC73C6"/>
    <w:rsid w:val="00DD02FE"/>
    <w:rsid w:val="00DD0FAC"/>
    <w:rsid w:val="00DD12AF"/>
    <w:rsid w:val="00DD2830"/>
    <w:rsid w:val="00DD2DD5"/>
    <w:rsid w:val="00DD4BE3"/>
    <w:rsid w:val="00DD543E"/>
    <w:rsid w:val="00DD5A01"/>
    <w:rsid w:val="00DD5A95"/>
    <w:rsid w:val="00DD772E"/>
    <w:rsid w:val="00DE0570"/>
    <w:rsid w:val="00DE14CE"/>
    <w:rsid w:val="00DE24DF"/>
    <w:rsid w:val="00DE24E5"/>
    <w:rsid w:val="00DE2651"/>
    <w:rsid w:val="00DE39D8"/>
    <w:rsid w:val="00DE4004"/>
    <w:rsid w:val="00DE40E6"/>
    <w:rsid w:val="00DE41AF"/>
    <w:rsid w:val="00DE4FC8"/>
    <w:rsid w:val="00DE5227"/>
    <w:rsid w:val="00DE5D52"/>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5D3E"/>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6D97"/>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3FF2"/>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3C6D"/>
    <w:rsid w:val="00E34D8A"/>
    <w:rsid w:val="00E35DA1"/>
    <w:rsid w:val="00E364A9"/>
    <w:rsid w:val="00E3692B"/>
    <w:rsid w:val="00E36F9A"/>
    <w:rsid w:val="00E372AB"/>
    <w:rsid w:val="00E405F7"/>
    <w:rsid w:val="00E40744"/>
    <w:rsid w:val="00E40BD5"/>
    <w:rsid w:val="00E413AF"/>
    <w:rsid w:val="00E4151C"/>
    <w:rsid w:val="00E41608"/>
    <w:rsid w:val="00E418A4"/>
    <w:rsid w:val="00E42115"/>
    <w:rsid w:val="00E427A3"/>
    <w:rsid w:val="00E42B8A"/>
    <w:rsid w:val="00E42E1F"/>
    <w:rsid w:val="00E42E5C"/>
    <w:rsid w:val="00E42F4B"/>
    <w:rsid w:val="00E43D31"/>
    <w:rsid w:val="00E43FF5"/>
    <w:rsid w:val="00E44FFE"/>
    <w:rsid w:val="00E4568A"/>
    <w:rsid w:val="00E45E26"/>
    <w:rsid w:val="00E46AB1"/>
    <w:rsid w:val="00E46B4D"/>
    <w:rsid w:val="00E479A9"/>
    <w:rsid w:val="00E51B37"/>
    <w:rsid w:val="00E52424"/>
    <w:rsid w:val="00E532E1"/>
    <w:rsid w:val="00E5357E"/>
    <w:rsid w:val="00E53718"/>
    <w:rsid w:val="00E537FC"/>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6919"/>
    <w:rsid w:val="00E77432"/>
    <w:rsid w:val="00E7773A"/>
    <w:rsid w:val="00E77B9A"/>
    <w:rsid w:val="00E80012"/>
    <w:rsid w:val="00E80F83"/>
    <w:rsid w:val="00E82089"/>
    <w:rsid w:val="00E826B7"/>
    <w:rsid w:val="00E82915"/>
    <w:rsid w:val="00E82E03"/>
    <w:rsid w:val="00E830B7"/>
    <w:rsid w:val="00E83D4D"/>
    <w:rsid w:val="00E8477C"/>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4F9B"/>
    <w:rsid w:val="00E950AB"/>
    <w:rsid w:val="00E95774"/>
    <w:rsid w:val="00E95F6F"/>
    <w:rsid w:val="00E96083"/>
    <w:rsid w:val="00E961C6"/>
    <w:rsid w:val="00E962E6"/>
    <w:rsid w:val="00E9663C"/>
    <w:rsid w:val="00E96C0B"/>
    <w:rsid w:val="00E96C83"/>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34D"/>
    <w:rsid w:val="00EC06EF"/>
    <w:rsid w:val="00EC07CA"/>
    <w:rsid w:val="00EC2A5C"/>
    <w:rsid w:val="00EC2F37"/>
    <w:rsid w:val="00EC2FE0"/>
    <w:rsid w:val="00EC3117"/>
    <w:rsid w:val="00EC3CCB"/>
    <w:rsid w:val="00EC4292"/>
    <w:rsid w:val="00EC5A7E"/>
    <w:rsid w:val="00EC6CE8"/>
    <w:rsid w:val="00ED0204"/>
    <w:rsid w:val="00ED0810"/>
    <w:rsid w:val="00ED0B57"/>
    <w:rsid w:val="00ED118D"/>
    <w:rsid w:val="00ED13A1"/>
    <w:rsid w:val="00ED17B8"/>
    <w:rsid w:val="00ED188D"/>
    <w:rsid w:val="00ED20E9"/>
    <w:rsid w:val="00ED3556"/>
    <w:rsid w:val="00ED3FB1"/>
    <w:rsid w:val="00ED5244"/>
    <w:rsid w:val="00ED6F03"/>
    <w:rsid w:val="00ED7BFF"/>
    <w:rsid w:val="00EE0104"/>
    <w:rsid w:val="00EE03C1"/>
    <w:rsid w:val="00EE166C"/>
    <w:rsid w:val="00EE17DA"/>
    <w:rsid w:val="00EE1CE3"/>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703"/>
    <w:rsid w:val="00EF7A74"/>
    <w:rsid w:val="00EF7D51"/>
    <w:rsid w:val="00EF7D7F"/>
    <w:rsid w:val="00F0090C"/>
    <w:rsid w:val="00F00D38"/>
    <w:rsid w:val="00F01393"/>
    <w:rsid w:val="00F0139F"/>
    <w:rsid w:val="00F016D1"/>
    <w:rsid w:val="00F02D35"/>
    <w:rsid w:val="00F030F0"/>
    <w:rsid w:val="00F03739"/>
    <w:rsid w:val="00F0447A"/>
    <w:rsid w:val="00F04568"/>
    <w:rsid w:val="00F053F4"/>
    <w:rsid w:val="00F057BB"/>
    <w:rsid w:val="00F05939"/>
    <w:rsid w:val="00F06021"/>
    <w:rsid w:val="00F06AE2"/>
    <w:rsid w:val="00F076C4"/>
    <w:rsid w:val="00F077AD"/>
    <w:rsid w:val="00F07C82"/>
    <w:rsid w:val="00F1071A"/>
    <w:rsid w:val="00F1104F"/>
    <w:rsid w:val="00F112EC"/>
    <w:rsid w:val="00F11520"/>
    <w:rsid w:val="00F1165B"/>
    <w:rsid w:val="00F11FD6"/>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384D"/>
    <w:rsid w:val="00F25D98"/>
    <w:rsid w:val="00F26181"/>
    <w:rsid w:val="00F265BC"/>
    <w:rsid w:val="00F270FC"/>
    <w:rsid w:val="00F27142"/>
    <w:rsid w:val="00F27A30"/>
    <w:rsid w:val="00F300FB"/>
    <w:rsid w:val="00F30434"/>
    <w:rsid w:val="00F30810"/>
    <w:rsid w:val="00F30A12"/>
    <w:rsid w:val="00F32E4B"/>
    <w:rsid w:val="00F343F6"/>
    <w:rsid w:val="00F35BB9"/>
    <w:rsid w:val="00F363C4"/>
    <w:rsid w:val="00F36C5D"/>
    <w:rsid w:val="00F37677"/>
    <w:rsid w:val="00F37A5A"/>
    <w:rsid w:val="00F40D45"/>
    <w:rsid w:val="00F42812"/>
    <w:rsid w:val="00F43025"/>
    <w:rsid w:val="00F431BB"/>
    <w:rsid w:val="00F435D4"/>
    <w:rsid w:val="00F4364F"/>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4ECD"/>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027C"/>
    <w:rsid w:val="00F90CDC"/>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A2E"/>
    <w:rsid w:val="00F97B5C"/>
    <w:rsid w:val="00F97BD6"/>
    <w:rsid w:val="00F97F4A"/>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7A"/>
    <w:rsid w:val="00FE578A"/>
    <w:rsid w:val="00FE79AD"/>
    <w:rsid w:val="00FE7C66"/>
    <w:rsid w:val="00FF1484"/>
    <w:rsid w:val="00FF14A1"/>
    <w:rsid w:val="00FF1639"/>
    <w:rsid w:val="00FF1CD5"/>
    <w:rsid w:val="00FF25F9"/>
    <w:rsid w:val="00FF2846"/>
    <w:rsid w:val="00FF28B3"/>
    <w:rsid w:val="00FF33E6"/>
    <w:rsid w:val="00FF46F0"/>
    <w:rsid w:val="00FF4A71"/>
    <w:rsid w:val="00FF4DC4"/>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52CA8"/>
    <w:pPr>
      <w:spacing w:after="180"/>
    </w:pPr>
    <w:rPr>
      <w:rFonts w:ascii="Times New Roman" w:hAnsi="Times New Roman"/>
      <w:lang w:val="en-GB"/>
    </w:rPr>
  </w:style>
  <w:style w:type="paragraph" w:styleId="berschrift1">
    <w:name w:val="heading 1"/>
    <w:aliases w:val="H1,Memo Heading 1,h1,NMP Heading 1,app heading 1,l1,h11,h12,h13,h14,h15,h16,h17,h111,h121,h131,h141,h151,h161,h18,h112,h122,h132,h142,h152,h162,h19,h113,h123,h133,h143,h153,h163,1,Section of paper,Heading 1_a"/>
    <w:next w:val="Standard"/>
    <w:qFormat/>
    <w:pPr>
      <w:keepNext/>
      <w:keepLines/>
      <w:numPr>
        <w:numId w:val="7"/>
      </w:numPr>
      <w:pBdr>
        <w:top w:val="single" w:sz="12" w:space="3" w:color="auto"/>
      </w:pBdr>
      <w:spacing w:before="240" w:after="180"/>
      <w:outlineLvl w:val="0"/>
    </w:pPr>
    <w:rPr>
      <w:rFonts w:ascii="Arial" w:hAnsi="Arial"/>
      <w:sz w:val="36"/>
      <w:lang w:val="en-GB"/>
    </w:rPr>
  </w:style>
  <w:style w:type="paragraph" w:styleId="berschrift2">
    <w:name w:val="heading 2"/>
    <w:aliases w:val="Head2A,2,H2,h2,DO NOT USE_h2,h21,UNDERRUBRIK 1-2"/>
    <w:basedOn w:val="berschrift1"/>
    <w:next w:val="Standard"/>
    <w:qFormat/>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
    <w:basedOn w:val="berschrift2"/>
    <w:next w:val="Standard"/>
    <w:qFormat/>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qFormat/>
    <w:pPr>
      <w:numPr>
        <w:ilvl w:val="3"/>
      </w:numPr>
      <w:outlineLvl w:val="3"/>
    </w:pPr>
    <w:rPr>
      <w:sz w:val="24"/>
    </w:rPr>
  </w:style>
  <w:style w:type="paragraph" w:styleId="berschrift5">
    <w:name w:val="heading 5"/>
    <w:aliases w:val="h5,Heading5"/>
    <w:basedOn w:val="berschrift4"/>
    <w:next w:val="Standard"/>
    <w:qFormat/>
    <w:pPr>
      <w:numPr>
        <w:ilvl w:val="4"/>
      </w:numPr>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link w:val="KopfzeileZchn"/>
    <w:pPr>
      <w:widowControl w:val="0"/>
    </w:pPr>
    <w:rPr>
      <w:rFonts w:ascii="Arial" w:hAnsi="Arial"/>
      <w:b/>
      <w:noProof/>
      <w:sz w:val="18"/>
      <w:lang w:val="en-GB"/>
    </w:rPr>
  </w:style>
  <w:style w:type="character" w:styleId="Funotenzeichen">
    <w:name w:val="footnote reference"/>
    <w:semiHidden/>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Standard"/>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Standard"/>
    <w:link w:val="NOChar"/>
    <w:pPr>
      <w:keepLines/>
      <w:ind w:left="1135" w:hanging="851"/>
    </w:pPr>
  </w:style>
  <w:style w:type="character" w:customStyle="1" w:styleId="NOChar">
    <w:name w:val="NO Char"/>
    <w:link w:val="NO"/>
    <w:rsid w:val="00E61B54"/>
    <w:rPr>
      <w:lang w:val="en-GB" w:eastAsia="en-US" w:bidi="ar-SA"/>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character" w:customStyle="1" w:styleId="B1Char">
    <w:name w:val="B1 Char"/>
    <w:link w:val="B1"/>
    <w:rsid w:val="000618C0"/>
    <w:rPr>
      <w:lang w:val="en-GB" w:eastAsia="en-US" w:bidi="ar-SA"/>
    </w:r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customStyle="1" w:styleId="KommentartextZchn">
    <w:name w:val="Kommentartext Zchn"/>
    <w:link w:val="Kommentartext"/>
    <w:semiHidden/>
    <w:rsid w:val="00D62E96"/>
    <w:rPr>
      <w:rFonts w:ascii="Times New Roman" w:hAnsi="Times New Roman"/>
      <w:lang w:val="en-GB"/>
    </w:rPr>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aliases w:val="bt"/>
    <w:basedOn w:val="Standard"/>
    <w:link w:val="TextkrperZchn"/>
    <w:rsid w:val="00943DD6"/>
    <w:pPr>
      <w:spacing w:after="0"/>
    </w:pPr>
    <w:rPr>
      <w:sz w:val="24"/>
      <w:szCs w:val="24"/>
      <w:lang w:val="en-US"/>
    </w:rPr>
  </w:style>
  <w:style w:type="character" w:customStyle="1" w:styleId="TextkrperZchn">
    <w:name w:val="Textkörper Zchn"/>
    <w:aliases w:val="bt Zchn"/>
    <w:link w:val="Textkrper"/>
    <w:rsid w:val="00D9580B"/>
    <w:rPr>
      <w:rFonts w:ascii="Times New Roman" w:hAnsi="Times New Roman"/>
      <w:sz w:val="24"/>
      <w:szCs w:val="24"/>
    </w:rPr>
  </w:style>
  <w:style w:type="character" w:styleId="Seitenzahl">
    <w:name w:val="page number"/>
    <w:basedOn w:val="Absatz-Standardschriftart"/>
    <w:rsid w:val="00FC4F4B"/>
  </w:style>
  <w:style w:type="paragraph" w:customStyle="1" w:styleId="Heading2Head2A2">
    <w:name w:val="Heading 2.Head2A.2"/>
    <w:basedOn w:val="berschrift1"/>
    <w:next w:val="Standard"/>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sz w:val="24"/>
      <w:szCs w:val="24"/>
      <w:lang w:val="en-US" w:eastAsia="ja-JP"/>
    </w:rPr>
  </w:style>
  <w:style w:type="paragraph" w:customStyle="1" w:styleId="DocRef">
    <w:name w:val="DocRef"/>
    <w:basedOn w:val="Standard"/>
    <w:rsid w:val="00DF0640"/>
    <w:pPr>
      <w:numPr>
        <w:numId w:val="4"/>
      </w:numPr>
      <w:tabs>
        <w:tab w:val="clear" w:pos="720"/>
        <w:tab w:val="num" w:pos="540"/>
      </w:tabs>
      <w:spacing w:after="120"/>
      <w:ind w:left="540" w:hanging="540"/>
      <w:jc w:val="both"/>
    </w:pPr>
    <w:rPr>
      <w:lang w:val="en-US"/>
    </w:rPr>
  </w:style>
  <w:style w:type="paragraph" w:styleId="Beschriftung">
    <w:name w:val="caption"/>
    <w:aliases w:val="cap,cap Char,Caption Char1 Char,cap Char Char1,Caption Char Char1 Char,cap Char2,cap Char2 Char Char"/>
    <w:basedOn w:val="Standard"/>
    <w:next w:val="Standard"/>
    <w:link w:val="BeschriftungZchn"/>
    <w:qFormat/>
    <w:rsid w:val="008525FB"/>
    <w:pPr>
      <w:spacing w:after="0"/>
    </w:pPr>
    <w:rPr>
      <w:b/>
      <w:bCs/>
      <w:lang w:val="en-US"/>
    </w:rPr>
  </w:style>
  <w:style w:type="character" w:customStyle="1" w:styleId="BeschriftungZchn">
    <w:name w:val="Beschriftung Zchn"/>
    <w:aliases w:val="cap Zchn,cap Char Zchn,Caption Char1 Char Zchn,cap Char Char1 Zchn,Caption Char Char1 Char Zchn,cap Char2 Zchn,cap Char2 Char Char Zchn"/>
    <w:link w:val="Beschriftung"/>
    <w:rsid w:val="00D9580B"/>
    <w:rPr>
      <w:rFonts w:ascii="Times New Roman" w:hAnsi="Times New Roman"/>
      <w:b/>
      <w:bCs/>
    </w:rPr>
  </w:style>
  <w:style w:type="paragraph" w:customStyle="1" w:styleId="Bulleted">
    <w:name w:val="Bulleted"/>
    <w:aliases w:val="Symbol (symbol),Left:  0,25&quot;,Hanging:  0"/>
    <w:basedOn w:val="Standard"/>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berarbeitung">
    <w:name w:val="Revision"/>
    <w:hidden/>
    <w:uiPriority w:val="99"/>
    <w:semiHidden/>
    <w:rsid w:val="00114EE6"/>
    <w:rPr>
      <w:rFonts w:ascii="Times New Roman" w:hAnsi="Times New Roman"/>
      <w:lang w:val="en-GB"/>
    </w:rPr>
  </w:style>
  <w:style w:type="paragraph" w:styleId="Indexberschrift">
    <w:name w:val="index heading"/>
    <w:basedOn w:val="Standard"/>
    <w:next w:val="Standard"/>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rsid w:val="00D9580B"/>
    <w:pPr>
      <w:overflowPunct w:val="0"/>
      <w:autoSpaceDE w:val="0"/>
      <w:autoSpaceDN w:val="0"/>
      <w:adjustRightInd w:val="0"/>
      <w:ind w:left="851"/>
      <w:textAlignment w:val="baseline"/>
    </w:pPr>
  </w:style>
  <w:style w:type="paragraph" w:customStyle="1" w:styleId="INDENT2">
    <w:name w:val="INDENT2"/>
    <w:basedOn w:val="Standard"/>
    <w:rsid w:val="00D9580B"/>
    <w:pPr>
      <w:overflowPunct w:val="0"/>
      <w:autoSpaceDE w:val="0"/>
      <w:autoSpaceDN w:val="0"/>
      <w:adjustRightInd w:val="0"/>
      <w:ind w:left="1135" w:hanging="284"/>
      <w:textAlignment w:val="baseline"/>
    </w:pPr>
  </w:style>
  <w:style w:type="paragraph" w:customStyle="1" w:styleId="INDENT3">
    <w:name w:val="INDENT3"/>
    <w:basedOn w:val="Standard"/>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rsid w:val="00D9580B"/>
    <w:pPr>
      <w:keepNext/>
      <w:keepLines/>
      <w:overflowPunct w:val="0"/>
      <w:autoSpaceDE w:val="0"/>
      <w:autoSpaceDN w:val="0"/>
      <w:adjustRightInd w:val="0"/>
      <w:textAlignment w:val="baseline"/>
    </w:pPr>
    <w:rPr>
      <w:b/>
    </w:rPr>
  </w:style>
  <w:style w:type="paragraph" w:customStyle="1" w:styleId="enumlev2">
    <w:name w:val="enumlev2"/>
    <w:basedOn w:val="Standard"/>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NurText">
    <w:name w:val="Plain Text"/>
    <w:basedOn w:val="Standard"/>
    <w:link w:val="NurTextZchn"/>
    <w:rsid w:val="00D9580B"/>
    <w:pPr>
      <w:overflowPunct w:val="0"/>
      <w:autoSpaceDE w:val="0"/>
      <w:autoSpaceDN w:val="0"/>
      <w:adjustRightInd w:val="0"/>
      <w:textAlignment w:val="baseline"/>
    </w:pPr>
    <w:rPr>
      <w:rFonts w:ascii="Courier New" w:hAnsi="Courier New"/>
      <w:lang w:val="nb-NO"/>
    </w:rPr>
  </w:style>
  <w:style w:type="character" w:customStyle="1" w:styleId="NurTextZchn">
    <w:name w:val="Nur Text Zchn"/>
    <w:link w:val="Nur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rsid w:val="00D9580B"/>
  </w:style>
  <w:style w:type="paragraph" w:styleId="Textkrper-Zeileneinzug">
    <w:name w:val="Body Text Indent"/>
    <w:basedOn w:val="Standard"/>
    <w:link w:val="Textkrper-ZeileneinzugZchn"/>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Textkrper-ZeileneinzugZchn">
    <w:name w:val="Textkörper-Zeileneinzug Zchn"/>
    <w:link w:val="Textkrper-Zeileneinzug"/>
    <w:rsid w:val="00D9580B"/>
    <w:rPr>
      <w:rFonts w:ascii="Times New Roman" w:hAnsi="Times New Roman"/>
      <w:snapToGrid w:val="0"/>
      <w:kern w:val="2"/>
      <w:sz w:val="21"/>
      <w:lang w:val="en-GB"/>
    </w:rPr>
  </w:style>
  <w:style w:type="paragraph" w:styleId="Textkrper2">
    <w:name w:val="Body Text 2"/>
    <w:basedOn w:val="Standard"/>
    <w:link w:val="Textkrper2Zchn"/>
    <w:rsid w:val="00D9580B"/>
    <w:pPr>
      <w:overflowPunct w:val="0"/>
      <w:autoSpaceDE w:val="0"/>
      <w:autoSpaceDN w:val="0"/>
      <w:adjustRightInd w:val="0"/>
      <w:textAlignment w:val="baseline"/>
    </w:pPr>
    <w:rPr>
      <w:i/>
    </w:rPr>
  </w:style>
  <w:style w:type="character" w:customStyle="1" w:styleId="Textkrper2Zchn">
    <w:name w:val="Textkörper 2 Zchn"/>
    <w:link w:val="Textkrper2"/>
    <w:rsid w:val="00D9580B"/>
    <w:rPr>
      <w:rFonts w:ascii="Times New Roman" w:hAnsi="Times New Roman"/>
      <w:i/>
      <w:lang w:val="en-GB"/>
    </w:rPr>
  </w:style>
  <w:style w:type="paragraph" w:styleId="Textkrper3">
    <w:name w:val="Body Text 3"/>
    <w:basedOn w:val="Standard"/>
    <w:link w:val="Textkrper3Zchn"/>
    <w:rsid w:val="00D9580B"/>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D9580B"/>
    <w:rPr>
      <w:rFonts w:ascii="Times New Roman" w:eastAsia="Osaka" w:hAnsi="Times New Roman"/>
      <w:color w:val="000000"/>
      <w:lang w:val="en-GB"/>
    </w:rPr>
  </w:style>
  <w:style w:type="paragraph" w:customStyle="1" w:styleId="Figure">
    <w:name w:val="Figure"/>
    <w:basedOn w:val="Standard"/>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Standard"/>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Standard"/>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el">
    <w:name w:val="Title"/>
    <w:basedOn w:val="Standard"/>
    <w:next w:val="Standard"/>
    <w:link w:val="TitelZchn"/>
    <w:qFormat/>
    <w:rsid w:val="004F601B"/>
    <w:pPr>
      <w:spacing w:before="240" w:after="60"/>
      <w:jc w:val="center"/>
      <w:outlineLvl w:val="0"/>
    </w:pPr>
    <w:rPr>
      <w:rFonts w:ascii="Cambria" w:eastAsia="SimSun" w:hAnsi="Cambria"/>
      <w:b/>
      <w:bCs/>
      <w:kern w:val="28"/>
      <w:sz w:val="32"/>
      <w:szCs w:val="32"/>
    </w:rPr>
  </w:style>
  <w:style w:type="character" w:customStyle="1" w:styleId="TitelZchn">
    <w:name w:val="Titel Zchn"/>
    <w:link w:val="Titel"/>
    <w:rsid w:val="004F601B"/>
    <w:rPr>
      <w:rFonts w:ascii="Cambria" w:eastAsia="SimSun" w:hAnsi="Cambria" w:cs="Times New Roman"/>
      <w:b/>
      <w:bCs/>
      <w:kern w:val="28"/>
      <w:sz w:val="32"/>
      <w:szCs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Standard"/>
    <w:next w:val="Standard"/>
    <w:autoRedefine/>
    <w:rsid w:val="00301847"/>
    <w:pPr>
      <w:keepNext/>
      <w:numPr>
        <w:numId w:val="9"/>
      </w:numPr>
      <w:tabs>
        <w:tab w:val="left" w:pos="540"/>
      </w:tabs>
      <w:spacing w:after="40"/>
    </w:pPr>
    <w:rPr>
      <w:lang w:val="en-US"/>
    </w:rPr>
  </w:style>
  <w:style w:type="paragraph" w:styleId="Listenabsatz">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Standard"/>
    <w:link w:val="ListenabsatzZchn"/>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ennummer4">
    <w:name w:val="List Number 4"/>
    <w:basedOn w:val="Standard"/>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Standard"/>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uzeileZchn">
    <w:name w:val="Fußzeile Zchn"/>
    <w:basedOn w:val="Absatz-Standardschriftart"/>
    <w:link w:val="Fuzeile"/>
    <w:uiPriority w:val="99"/>
    <w:rsid w:val="00C03C38"/>
    <w:rPr>
      <w:rFonts w:ascii="Arial" w:hAnsi="Arial"/>
      <w:b/>
      <w:i/>
      <w:noProof/>
      <w:sz w:val="18"/>
      <w:lang w:val="en-GB"/>
    </w:rPr>
  </w:style>
  <w:style w:type="character" w:styleId="NichtaufgelsteErwhnung">
    <w:name w:val="Unresolved Mention"/>
    <w:basedOn w:val="Absatz-Standardschriftart"/>
    <w:uiPriority w:val="99"/>
    <w:semiHidden/>
    <w:unhideWhenUsed/>
    <w:rsid w:val="00F83F45"/>
    <w:rPr>
      <w:color w:val="605E5C"/>
      <w:shd w:val="clear" w:color="auto" w:fill="E1DFDD"/>
    </w:rPr>
  </w:style>
  <w:style w:type="character" w:customStyle="1" w:styleId="ListenabsatzZchn">
    <w:name w:val="Listenabsatz Zchn"/>
    <w:aliases w:val="- Bullets Zchn,リスト段落 Zchn,列出段落 Zchn,Lista1 Zchn,?? ?? Zchn,????? Zchn,???? Zchn,列出段落1 Zchn,中等深浅网格 1 - 着色 21 Zchn,列表段落 Zchn,¥¡¡¡¡ì¬º¥¹¥È¶ÎÂä Zchn,ÁÐ³ö¶ÎÂä Zchn,列表段落1 Zchn,—ño’i—Ž Zchn,¥ê¥¹¥È¶ÎÂä Zchn,Lettre d'introduction Zchn"/>
    <w:link w:val="Listenabsatz"/>
    <w:uiPriority w:val="34"/>
    <w:qFormat/>
    <w:locked/>
    <w:rsid w:val="00F90CDC"/>
    <w:rPr>
      <w:rFonts w:ascii="Calibri" w:eastAsia="SimSun" w:hAnsi="Calibri" w:cs="Calibri"/>
      <w:sz w:val="22"/>
      <w:szCs w:val="22"/>
      <w:lang w:eastAsia="zh-CN"/>
    </w:rPr>
  </w:style>
  <w:style w:type="character" w:customStyle="1" w:styleId="markedcontent">
    <w:name w:val="markedcontent"/>
    <w:basedOn w:val="Absatz-Standardschriftart"/>
    <w:rsid w:val="009C5D5D"/>
  </w:style>
  <w:style w:type="character" w:customStyle="1" w:styleId="highlight">
    <w:name w:val="highlight"/>
    <w:basedOn w:val="Absatz-Standardschriftart"/>
    <w:rsid w:val="009C5D5D"/>
  </w:style>
  <w:style w:type="paragraph" w:customStyle="1" w:styleId="3GPPAgreements">
    <w:name w:val="3GPP Agreements"/>
    <w:basedOn w:val="Standard"/>
    <w:link w:val="3GPPAgreementsChar"/>
    <w:qFormat/>
    <w:rsid w:val="00B85850"/>
    <w:pPr>
      <w:numPr>
        <w:numId w:val="4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B85850"/>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24600352">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0847200">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60189599">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29695858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9702122">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26463317">
      <w:bodyDiv w:val="1"/>
      <w:marLeft w:val="0"/>
      <w:marRight w:val="0"/>
      <w:marTop w:val="0"/>
      <w:marBottom w:val="0"/>
      <w:divBdr>
        <w:top w:val="none" w:sz="0" w:space="0" w:color="auto"/>
        <w:left w:val="none" w:sz="0" w:space="0" w:color="auto"/>
        <w:bottom w:val="none" w:sz="0" w:space="0" w:color="auto"/>
        <w:right w:val="none" w:sz="0" w:space="0" w:color="auto"/>
      </w:divBdr>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3253549">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089803">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50183332">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399594289">
      <w:bodyDiv w:val="1"/>
      <w:marLeft w:val="0"/>
      <w:marRight w:val="0"/>
      <w:marTop w:val="0"/>
      <w:marBottom w:val="0"/>
      <w:divBdr>
        <w:top w:val="none" w:sz="0" w:space="0" w:color="auto"/>
        <w:left w:val="none" w:sz="0" w:space="0" w:color="auto"/>
        <w:bottom w:val="none" w:sz="0" w:space="0" w:color="auto"/>
        <w:right w:val="none" w:sz="0" w:space="0" w:color="auto"/>
      </w:divBdr>
    </w:div>
    <w:div w:id="1417245171">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1610603">
      <w:bodyDiv w:val="1"/>
      <w:marLeft w:val="0"/>
      <w:marRight w:val="0"/>
      <w:marTop w:val="0"/>
      <w:marBottom w:val="0"/>
      <w:divBdr>
        <w:top w:val="none" w:sz="0" w:space="0" w:color="auto"/>
        <w:left w:val="none" w:sz="0" w:space="0" w:color="auto"/>
        <w:bottom w:val="none" w:sz="0" w:space="0" w:color="auto"/>
        <w:right w:val="none" w:sz="0" w:space="0" w:color="auto"/>
      </w:divBdr>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5504988">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2421776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0477951">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567343">
      <w:bodyDiv w:val="1"/>
      <w:marLeft w:val="0"/>
      <w:marRight w:val="0"/>
      <w:marTop w:val="0"/>
      <w:marBottom w:val="0"/>
      <w:divBdr>
        <w:top w:val="none" w:sz="0" w:space="0" w:color="auto"/>
        <w:left w:val="none" w:sz="0" w:space="0" w:color="auto"/>
        <w:bottom w:val="none" w:sz="0" w:space="0" w:color="auto"/>
        <w:right w:val="none" w:sz="0" w:space="0" w:color="auto"/>
      </w:divBdr>
    </w:div>
    <w:div w:id="2050104104">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5gaa.org/news/deployment-band-configuration-for-c-v2x-at-5-9-ghz-in-euro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1837</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12358</CharactersWithSpaces>
  <SharedDoc>false</SharedDoc>
  <HLinks>
    <vt:vector size="6" baseType="variant">
      <vt:variant>
        <vt:i4>7143471</vt:i4>
      </vt:variant>
      <vt:variant>
        <vt:i4>0</vt:i4>
      </vt:variant>
      <vt:variant>
        <vt:i4>0</vt:i4>
      </vt:variant>
      <vt:variant>
        <vt:i4>5</vt:i4>
      </vt:variant>
      <vt:variant>
        <vt:lpwstr>https://5gaa.org/news/deployment-band-configuration-for-c-v2x-at-5-9-ghz-in-europe/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2022-08-12T10:05:00Z</dcterms:created>
  <dcterms:modified xsi:type="dcterms:W3CDTF">2022-08-12T10:06:00Z</dcterms:modified>
</cp:coreProperties>
</file>